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0A" w:rsidRPr="00502C0A" w:rsidRDefault="00502C0A" w:rsidP="00502C0A">
      <w:pPr>
        <w:rPr>
          <w:b/>
          <w:bCs/>
        </w:rPr>
      </w:pPr>
      <w:r w:rsidRPr="00502C0A">
        <w:rPr>
          <w:b/>
          <w:bCs/>
        </w:rPr>
        <w:t>Štátna pomoc</w:t>
      </w:r>
    </w:p>
    <w:p w:rsidR="00502C0A" w:rsidRPr="00502C0A" w:rsidRDefault="00502C0A" w:rsidP="00502C0A">
      <w:pPr>
        <w:jc w:val="both"/>
      </w:pPr>
      <w:r w:rsidRPr="00502C0A">
        <w:t>V zmysle </w:t>
      </w:r>
      <w:hyperlink r:id="rId5" w:tgtFrame="_blank" w:tooltip="Zákon 358/2015 Z.z." w:history="1">
        <w:r w:rsidRPr="00502C0A">
          <w:rPr>
            <w:rStyle w:val="Hypertextovprepojenie"/>
          </w:rPr>
          <w:t>zákona č. 358/2015 Z. z.</w:t>
        </w:r>
      </w:hyperlink>
      <w:r w:rsidRPr="00502C0A">
        <w:t>  o úprave niektorých vzťahov v oblasti štátnej pomoci a minimálnej pomoci a o zmene a doplnení niektorých zákonov (zákon o štátnej pomoci), ktorý nadobudol účinnosť 1. januára 2016, koordinátorom pomoci je Protimonopolný úrad SR, a to vo vzťahu k poskytovateľom štátnej pomoci v Slovenskej republike a vo vzťahu k Európskej únii.</w:t>
      </w:r>
    </w:p>
    <w:p w:rsidR="00502C0A" w:rsidRDefault="00502C0A" w:rsidP="00502C0A">
      <w:pPr>
        <w:pStyle w:val="Nadpis2"/>
        <w:numPr>
          <w:ilvl w:val="0"/>
          <w:numId w:val="1"/>
        </w:numPr>
        <w:jc w:val="both"/>
      </w:pPr>
      <w:bookmarkStart w:id="0" w:name="_GoBack"/>
      <w:bookmarkEnd w:id="0"/>
      <w:r>
        <w:t>Minimálna pomoc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t xml:space="preserve">Podľa </w:t>
      </w:r>
      <w:hyperlink r:id="rId6" w:tgtFrame="_blank" w:tooltip="nariadenia Komisie (EÚ) č. 1407/2013 z 18. decembra 2013 o uplatňovaní článkov 107 a 108 Zmluvy o fungovaní EÚ na pomoc de minimis [nové okno] " w:history="1">
        <w:r>
          <w:rPr>
            <w:rStyle w:val="Hypertextovprepojenie"/>
          </w:rPr>
          <w:t xml:space="preserve">nariadenia Komisie (EÚ) č. 1407/2013 z 18. decembra 2013 o uplatňovaní článkov 107 a 108 Zmluvy o fungovaní EÚ na pomoc de </w:t>
        </w:r>
        <w:proofErr w:type="spellStart"/>
        <w:r>
          <w:rPr>
            <w:rStyle w:val="Hypertextovprepojenie"/>
          </w:rPr>
          <w:t>minimis</w:t>
        </w:r>
        <w:proofErr w:type="spellEnd"/>
        <w:r>
          <w:rPr>
            <w:rStyle w:val="Hypertextovprepojenie"/>
          </w:rPr>
          <w:t xml:space="preserve"> (ÚV EÚ L 352, 24.12.2013, s. </w:t>
        </w:r>
      </w:hyperlink>
      <w:r>
        <w:t xml:space="preserve"> [nové okno]1), ktoré nadobudlo účinnosť 1.1.2014,  minimálna pomoc (pomoc de </w:t>
      </w:r>
      <w:proofErr w:type="spellStart"/>
      <w:r>
        <w:t>minimis</w:t>
      </w:r>
      <w:proofErr w:type="spellEnd"/>
      <w:r>
        <w:t>) predstavuje pomoc, ktorá v priebehu akéhokoľvek obdobia troch fiškálnych rokov neprekročí v prepočte súhrnne 200 000 EUR pre jedného podnikateľa.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t xml:space="preserve">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sa vzťahuje na pomoc poskytnutú podnikom vo všetkých sektoroch okrem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 xml:space="preserve">a)       pomoci v prospech podnikov pôsobiacich v sektore rybolovu a </w:t>
      </w:r>
      <w:proofErr w:type="spellStart"/>
      <w:r>
        <w:t>akvakultúry</w:t>
      </w:r>
      <w:proofErr w:type="spellEnd"/>
      <w:r>
        <w:t>, na ktoré sa vzťahuje nariadenie Rady (ES) č. 104/2000 zo 17. decembra 1999 o spoločnej organizácii trhov s výrobkami rybolovu a </w:t>
      </w:r>
      <w:proofErr w:type="spellStart"/>
      <w:r>
        <w:t>akvakultúry</w:t>
      </w:r>
      <w:proofErr w:type="spellEnd"/>
      <w:r>
        <w:t xml:space="preserve"> (Ú. v. ES L 17, 21.1.2000, s. 22).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>b)       pomoci poskytovanej podnikom pôsobiacim v oblasti prvovýroby poľnohospodárskych výrobkov;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>c)       pomoci poskytovanej podnikom pôsobiacim v sektore spracovania a marketingu poľnohospodárskych výrobkov, a to v týchto prípadoch: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>          i)        ak je výška pomoci stanovená na základe ceny alebo množstva takýchto výrobkov kúpených od prvovýrobcov alebo výrobkov umiestnených na trhu príslušnými   podnikmi;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>          ii)       ak je pomoc podmienená tým, že bude čiastočne alebo úplne postúpená prvovýrobcom;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>d)       pomoci na činnosti súvisiace s vývozom do tretích krajín alebo členských štátov, konkrétne pomoci priamo súvisiacej s vyvážanými množstvami, na zriadenie a prevádzkovanie distribučnej siete alebo inými bežnými výdavkami súvisiacimi s vývoznou činnosťou;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t>e)       pomoci, ktorá je podmienená uprednostňovaním používania domáceho tovaru pred dovážaným.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br/>
        <w:t xml:space="preserve">Celková výška pomoci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, ktorú členský štát poskytol jedinému podniku vykonávajúcemu  cestnú  nákladnú dopravu  v  prenájme  alebo  za úhradu, nepresiahne 100 000 EUR v priebehu obdobia troch fiškálnych rokov. Táto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sa nepoužije na nákup vozidiel cestnej nákladnej dopravy.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t> </w:t>
      </w:r>
      <w:r>
        <w:br/>
        <w:t>Na pomoc v sektore prvovýroby poľnohospodárskych produktov sa vzťahuje  </w:t>
      </w:r>
      <w:hyperlink r:id="rId7" w:tgtFrame="_blank" w:tooltip=" nariadenie Komisie (EÚ) č. 1408/2013 z 18. decembra 2013 o uplatňovaní článkov 107 a 108 Zmluvy o fungovaní Európskej únie na pomoc de minimis v sektore poľnohospodárstva [nové okno]" w:history="1">
        <w:r>
          <w:rPr>
            <w:rStyle w:val="Hypertextovprepojenie"/>
          </w:rPr>
          <w:t xml:space="preserve">nariadenie Komisie (EÚ) č. 1408/2013 z 18. decembra 2013 o uplatňovaní článkov 107 a 108 Zmluvy o fungovaní Európskej únie na pomoc de </w:t>
        </w:r>
        <w:proofErr w:type="spellStart"/>
        <w:r>
          <w:rPr>
            <w:rStyle w:val="Hypertextovprepojenie"/>
          </w:rPr>
          <w:t>minimis</w:t>
        </w:r>
        <w:proofErr w:type="spellEnd"/>
        <w:r>
          <w:rPr>
            <w:rStyle w:val="Hypertextovprepojenie"/>
          </w:rPr>
          <w:t xml:space="preserve"> v sektore poľnohospodárstva</w:t>
        </w:r>
      </w:hyperlink>
      <w:r>
        <w:t xml:space="preserve"> [nové okno](ÚV EÚ L 352, 24.12.2013, s.9), ktoré stanovuje, že minimálna pomoc predstavuje pomoc, ktorá neprekročí v prepočte súhrnne 15 000 EUR pre jedného podnikateľa v sektore poľnohospodárskej výroby za obdobie troch fiškálnych rokov. Podľa tohto nariadenia je možné poskytnúť minimálnu pomoc podnikom pôsobiacim v oblasti prvovýroby poľnohospodárskych produktov podľa prílohy I k zmluve.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t>Podľa nariadenia č. 1408/2013 je možné poskytnúť pomoc podniku pôsobiacemu v prvovýrobe poľnohospodárskych výrobkov s výnimkou: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rPr>
          <w:rStyle w:val="markedchange"/>
        </w:rPr>
        <w:lastRenderedPageBreak/>
        <w:t>a)         pomoci, ktorej výška sa stanovuje na základe ceny alebo množstva výrobkov uvedených na trh;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t>b)        pomoci na činnosti súvisiace s vývozom do tretích krajín alebo členských štátov, konkrétne pomoci priamo súvisiacej s vyvážanými množstvami, na zriadenie a prevádzkovanie distribučnej siete alebo inými bežnými výdavkami súvisiacimi s vývoznou činnosťou;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t>c)         pomoci, ktorá je podmienená uprednostňovaním používania domáceho tovaru pred dovážaným.</w:t>
      </w:r>
    </w:p>
    <w:p w:rsidR="00502C0A" w:rsidRDefault="00502C0A" w:rsidP="00502C0A">
      <w:pPr>
        <w:pStyle w:val="cm4"/>
        <w:numPr>
          <w:ilvl w:val="0"/>
          <w:numId w:val="1"/>
        </w:numPr>
        <w:jc w:val="both"/>
      </w:pPr>
      <w:r>
        <w:br/>
        <w:t xml:space="preserve">Na minimálnu pomoc v sektore rybného hospodárstva sa vzťahuje </w:t>
      </w:r>
      <w:hyperlink r:id="rId8" w:tgtFrame="_blank" w:tooltip="nariadenie komisie (EÚ) č. 717/2014 z 27. júna 2014 o uplatňovaní článkov 107 a 108 Zmluvy o fungovaní Európskej únie na pomoc de minimis v sektore rybného hospodárstva" w:history="1">
        <w:r>
          <w:rPr>
            <w:rStyle w:val="Hypertextovprepojenie"/>
          </w:rPr>
          <w:t xml:space="preserve">nariadenie komisie (EÚ) č. 717/2014 z 27. júna 2014 o uplatňovaní článkov 107 a 108 Zmluvy o fungovaní Európskej únie na pomoc </w:t>
        </w:r>
        <w:r>
          <w:rPr>
            <w:rStyle w:val="Hypertextovprepojenie"/>
            <w:i/>
            <w:iCs/>
          </w:rPr>
          <w:t xml:space="preserve">de </w:t>
        </w:r>
        <w:proofErr w:type="spellStart"/>
        <w:r>
          <w:rPr>
            <w:rStyle w:val="Hypertextovprepojenie"/>
            <w:i/>
            <w:iCs/>
          </w:rPr>
          <w:t>minimis</w:t>
        </w:r>
        <w:proofErr w:type="spellEnd"/>
        <w:r>
          <w:rPr>
            <w:rStyle w:val="Hypertextovprepojenie"/>
          </w:rPr>
          <w:t xml:space="preserve"> v sektore rybolovu a </w:t>
        </w:r>
        <w:proofErr w:type="spellStart"/>
        <w:r>
          <w:rPr>
            <w:rStyle w:val="Hypertextovprepojenie"/>
          </w:rPr>
          <w:t>akvakultúry</w:t>
        </w:r>
        <w:proofErr w:type="spellEnd"/>
      </w:hyperlink>
      <w:r>
        <w:t xml:space="preserve"> [nové okno] (ďalej len „nariadenie Komisie č. 717/2014“), ktoré nadobudlo účinnosť 1.júla 2014 a ktoré nahradilo doteraz platné nariadenie komisie </w:t>
      </w:r>
      <w:r>
        <w:rPr>
          <w:b/>
          <w:bCs/>
        </w:rPr>
        <w:t> </w:t>
      </w:r>
      <w:r>
        <w:t xml:space="preserve">(ES) č. 875/2007  o uplatňovaní článkov 87 a 88 Zmluvy  o ES, pokiaľ ide o 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v sektore rybného hospodárstva, ktorým sa mení a dopĺňa nariadenie (ES) č. 1860/2004 (ďalej len nariadenie Komisie č. 875/2007).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 xml:space="preserve">Výška pomoci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, ktorú členský štát poskytuje jedinému podniku v sektore rybolovu a </w:t>
      </w:r>
      <w:proofErr w:type="spellStart"/>
      <w:r>
        <w:t>akvakultúry</w:t>
      </w:r>
      <w:proofErr w:type="spellEnd"/>
      <w:r>
        <w:t>, nesmie presiahnuť 30 000 EUR v priebehu obdobia troch fiškálnych rokov.</w:t>
      </w:r>
    </w:p>
    <w:p w:rsidR="00502C0A" w:rsidRDefault="00502C0A" w:rsidP="00502C0A">
      <w:pPr>
        <w:pStyle w:val="default"/>
        <w:numPr>
          <w:ilvl w:val="0"/>
          <w:numId w:val="1"/>
        </w:numPr>
        <w:jc w:val="both"/>
      </w:pPr>
      <w:r>
        <w:t xml:space="preserve">V zmysle nariadenia Komisie č. 717/2014 je možné poskytnúť minimálnu pomoc podnikom v sektore rybolovu a </w:t>
      </w:r>
      <w:proofErr w:type="spellStart"/>
      <w:r>
        <w:t>akvakultúry</w:t>
      </w:r>
      <w:proofErr w:type="spellEnd"/>
      <w:r>
        <w:t xml:space="preserve"> s výnimkou: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a)         pomoci, ktorej výška sa stanovuje na základe ceny alebo množstva kúpených výrobkov a výrobkov uvedených na trh;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b)         pomoci na činnosti súvisiace s vývozom do tretích krajín alebo členských štátov, konkrétne pomoci priamo súvisiacej s vyvážanými množstvami, na zriadenie a prevádzkovanie distribučnej siete alebo inými bežnými výdavkami súvisiacimi s vývoznou činnosťou,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c)         pomoci, ktorá je podmienená uprednostňovaním používania domáceho tovaru pred dovážaným,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d)         pomoci na zakúpenie rybárskych plavidiel;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e)         pomoci na modernizáciu alebo výmenu hlavných alebo pomocných motorov rybárskych plavidiel;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f)           pomoci na operácie, ktoré zvyšujú rybolovnú kapacitu plavidla, alebo na zariadenie zvyšujúce rybolovnú kapacitu plavidla;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g)         pomoci na výstavbu nových rybárskych plavidiel alebo dovoz rybárskych plavidiel;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h)         pomoci na dočasné alebo trvalé ukončenie rybolovných činností s výnimkou prípadov, keď bola výslovne stanovená v nariadení Európskeho parlamentu a Rady (EÚ) č. 508/2014  z 15. mája 2014 o Európskom námornom a rybárskom fonde, ktorým sa zrušujú nariadenia Rady (ES) č. 2328/2003, (ES) č. 861/2006, (ES) č. 1198/2006 a (ES) č. 791/2007 a nariadenie Európskeho parlamentu a Rady (EÚ) č. 1255/2011 (Ú. v. EÚ L 149, 20.5.2014, s. 1),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i)           pomoci na prieskumný rybolov;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j)           pomoci na prevod vlastníctva podniku;</w:t>
      </w:r>
    </w:p>
    <w:p w:rsidR="00502C0A" w:rsidRDefault="00502C0A" w:rsidP="00502C0A">
      <w:pPr>
        <w:pStyle w:val="cm1"/>
        <w:numPr>
          <w:ilvl w:val="0"/>
          <w:numId w:val="1"/>
        </w:numPr>
        <w:jc w:val="both"/>
      </w:pPr>
      <w:r>
        <w:t>k)         pomoci na priame opätovné zarybňovanie, pokiaľ sa s ním výslovne nepočíta ako s ochranným opatrením v právnom akte Únie alebo pokiaľ nejde o experimentálne zarybňovanie.</w:t>
      </w:r>
    </w:p>
    <w:p w:rsidR="00502C0A" w:rsidRDefault="00502C0A" w:rsidP="00502C0A">
      <w:pPr>
        <w:pStyle w:val="Normlnywebov"/>
        <w:numPr>
          <w:ilvl w:val="0"/>
          <w:numId w:val="1"/>
        </w:numPr>
        <w:jc w:val="both"/>
      </w:pPr>
      <w:r>
        <w:lastRenderedPageBreak/>
        <w:t>Poskytnutie minimálnej pomoci preukazuje daňový subjekt predložením prehľadu o doteraz poskytnutej minimálnej pomoci za prebiehajúci fiškálny (účtovný) rok a dva predchádzajúce fiškálne (účtovné) roky.</w:t>
      </w:r>
    </w:p>
    <w:p w:rsidR="000E0F93" w:rsidRDefault="000E0F93"/>
    <w:sectPr w:rsidR="000E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31A7A"/>
    <w:multiLevelType w:val="multilevel"/>
    <w:tmpl w:val="FEE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0A"/>
    <w:rsid w:val="000E0F93"/>
    <w:rsid w:val="00502C0A"/>
    <w:rsid w:val="007C6BD0"/>
    <w:rsid w:val="00A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780A-C249-4573-95E3-7AADFD1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BD0"/>
    <w:rPr>
      <w:sz w:val="24"/>
      <w:szCs w:val="24"/>
      <w:lang w:eastAsia="cs-CZ"/>
    </w:rPr>
  </w:style>
  <w:style w:type="paragraph" w:styleId="Nadpis2">
    <w:name w:val="heading 2"/>
    <w:basedOn w:val="Normlny"/>
    <w:link w:val="Nadpis2Char"/>
    <w:uiPriority w:val="9"/>
    <w:qFormat/>
    <w:rsid w:val="00502C0A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7C6BD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02C0A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02C0A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502C0A"/>
    <w:rPr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02C0A"/>
    <w:pPr>
      <w:spacing w:before="100" w:beforeAutospacing="1" w:after="100" w:afterAutospacing="1"/>
    </w:pPr>
    <w:rPr>
      <w:lang w:eastAsia="sk-SK"/>
    </w:rPr>
  </w:style>
  <w:style w:type="paragraph" w:customStyle="1" w:styleId="cm4">
    <w:name w:val="cm4"/>
    <w:basedOn w:val="Normlny"/>
    <w:rsid w:val="00502C0A"/>
    <w:pPr>
      <w:spacing w:before="100" w:beforeAutospacing="1" w:after="100" w:afterAutospacing="1"/>
    </w:pPr>
    <w:rPr>
      <w:lang w:eastAsia="sk-SK"/>
    </w:rPr>
  </w:style>
  <w:style w:type="character" w:customStyle="1" w:styleId="markedchange">
    <w:name w:val="markedchange"/>
    <w:basedOn w:val="Predvolenpsmoodseku"/>
    <w:rsid w:val="00502C0A"/>
  </w:style>
  <w:style w:type="paragraph" w:customStyle="1" w:styleId="cm1">
    <w:name w:val="cm1"/>
    <w:basedOn w:val="Normlny"/>
    <w:rsid w:val="00502C0A"/>
    <w:pPr>
      <w:spacing w:before="100" w:beforeAutospacing="1" w:after="100" w:afterAutospacing="1"/>
    </w:pPr>
    <w:rPr>
      <w:lang w:eastAsia="sk-SK"/>
    </w:rPr>
  </w:style>
  <w:style w:type="paragraph" w:customStyle="1" w:styleId="default">
    <w:name w:val="default"/>
    <w:basedOn w:val="Normlny"/>
    <w:rsid w:val="00502C0A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search.html?DTN=0717&amp;DTA=2014&amp;qid=1462868535588&amp;DB_TYPE_OF_ACT=regulation&amp;CASE_LAW_SUMMARY=false&amp;DTS_DOM=ALL&amp;excConsLeg=true&amp;typeOfActStatus=REGULATION&amp;type=advanced&amp;SUBDOM_INIT=ALL_ALL&amp;DTS_SUBDOM=ALL_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search.html?DTN=1408&amp;DTA=2013&amp;qid=1462951159879&amp;DB_TYPE_OF_ACT=regulation&amp;CASE_LAW_SUMMARY=false&amp;DTS_DOM=ALL&amp;excConsLeg=true&amp;typeOfActStatus=REGULATION&amp;type=advanced&amp;SUBDOM_INIT=ALL_ALL&amp;DTS_SUBDOM=ALL_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search.html?DTN=1407&amp;DTA=2013&amp;qid=1462951301385&amp;DB_TYPE_OF_ACT=regulation&amp;CASE_LAW_SUMMARY=false&amp;DTS_DOM=ALL&amp;excConsLeg=true&amp;typeOfActStatus=REGULATION&amp;type=advanced&amp;SUBDOM_INIT=ALL_ALL&amp;DTS_SUBDOM=ALL_ALL" TargetMode="External"/><Relationship Id="rId5" Type="http://schemas.openxmlformats.org/officeDocument/2006/relationships/hyperlink" Target="https://www.slov-lex.sk/pravne-predpisy/SK/ZZ/2015/358/201601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Hrkeľová Lucia</dc:creator>
  <cp:keywords/>
  <dc:description/>
  <cp:lastModifiedBy>Hrkeľová Lucia</cp:lastModifiedBy>
  <cp:revision>2</cp:revision>
  <dcterms:created xsi:type="dcterms:W3CDTF">2016-07-14T08:23:00Z</dcterms:created>
  <dcterms:modified xsi:type="dcterms:W3CDTF">2016-07-14T08:32:00Z</dcterms:modified>
</cp:coreProperties>
</file>