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CE" w:rsidRDefault="00891ACE" w:rsidP="00DA322D">
      <w:pPr>
        <w:spacing w:after="0" w:line="240" w:lineRule="auto"/>
        <w:rPr>
          <w:rFonts w:ascii="Arial Narrow" w:hAnsi="Arial Narrow"/>
          <w:noProof/>
          <w:lang w:eastAsia="sk-SK"/>
        </w:rPr>
      </w:pPr>
    </w:p>
    <w:p w:rsidR="00891ACE" w:rsidRDefault="00891ACE" w:rsidP="00DA322D">
      <w:pPr>
        <w:spacing w:after="0" w:line="240" w:lineRule="auto"/>
        <w:rPr>
          <w:rFonts w:ascii="Arial Narrow" w:hAnsi="Arial Narrow"/>
          <w:noProof/>
          <w:lang w:eastAsia="sk-SK"/>
        </w:rPr>
      </w:pPr>
    </w:p>
    <w:p w:rsidR="00891ACE" w:rsidRDefault="00891ACE" w:rsidP="00DA322D">
      <w:pPr>
        <w:spacing w:after="0" w:line="240" w:lineRule="auto"/>
        <w:rPr>
          <w:rFonts w:ascii="Arial Narrow" w:hAnsi="Arial Narrow"/>
          <w:noProof/>
          <w:lang w:eastAsia="sk-SK"/>
        </w:rPr>
      </w:pPr>
    </w:p>
    <w:p w:rsidR="00891ACE" w:rsidRDefault="00891ACE" w:rsidP="00DA322D">
      <w:pPr>
        <w:spacing w:after="0" w:line="240" w:lineRule="auto"/>
        <w:rPr>
          <w:rFonts w:ascii="Arial Narrow" w:hAnsi="Arial Narrow"/>
          <w:noProof/>
          <w:lang w:eastAsia="sk-SK"/>
        </w:rPr>
      </w:pPr>
    </w:p>
    <w:p w:rsidR="00891ACE" w:rsidRDefault="00891ACE" w:rsidP="00DA322D">
      <w:pPr>
        <w:spacing w:after="0" w:line="240" w:lineRule="auto"/>
        <w:rPr>
          <w:rFonts w:ascii="Arial Narrow" w:hAnsi="Arial Narrow"/>
          <w:noProof/>
          <w:lang w:eastAsia="sk-SK"/>
        </w:rPr>
      </w:pPr>
    </w:p>
    <w:p w:rsidR="00891ACE" w:rsidRDefault="00891ACE" w:rsidP="00DA322D">
      <w:pPr>
        <w:spacing w:after="0" w:line="240" w:lineRule="auto"/>
        <w:rPr>
          <w:rFonts w:ascii="Arial Narrow" w:hAnsi="Arial Narrow"/>
          <w:noProof/>
          <w:lang w:eastAsia="sk-SK"/>
        </w:rPr>
      </w:pPr>
    </w:p>
    <w:p w:rsidR="00891ACE" w:rsidRDefault="00891ACE" w:rsidP="00DA322D">
      <w:pPr>
        <w:spacing w:after="0" w:line="240" w:lineRule="auto"/>
        <w:rPr>
          <w:rFonts w:ascii="Arial Narrow" w:hAnsi="Arial Narrow"/>
          <w:noProof/>
          <w:lang w:eastAsia="sk-SK"/>
        </w:rPr>
      </w:pPr>
    </w:p>
    <w:p w:rsidR="00891ACE" w:rsidRPr="009D422E" w:rsidRDefault="00891ACE" w:rsidP="00DA322D">
      <w:pPr>
        <w:spacing w:after="0" w:line="240" w:lineRule="auto"/>
        <w:rPr>
          <w:rFonts w:ascii="Arial Narrow" w:hAnsi="Arial Narrow"/>
          <w:noProof/>
          <w:lang w:eastAsia="sk-SK"/>
        </w:rPr>
      </w:pP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91AC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891ACE" w:rsidRPr="009D422E" w:rsidRDefault="004E505E" w:rsidP="00DA32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w:drawing>
          <wp:inline distT="0" distB="0" distL="0" distR="0">
            <wp:extent cx="876300" cy="1036320"/>
            <wp:effectExtent l="0" t="0" r="0" b="0"/>
            <wp:docPr id="1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9D422E">
        <w:rPr>
          <w:rFonts w:ascii="Times New Roman" w:hAnsi="Times New Roman"/>
          <w:b/>
          <w:sz w:val="28"/>
          <w:szCs w:val="28"/>
          <w:lang w:eastAsia="sk-SK"/>
        </w:rPr>
        <w:t>MINISTERSTVO HOSPODÁRSTVA</w:t>
      </w: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9D422E">
        <w:rPr>
          <w:rFonts w:ascii="Times New Roman" w:hAnsi="Times New Roman"/>
          <w:b/>
          <w:sz w:val="28"/>
          <w:szCs w:val="28"/>
          <w:lang w:eastAsia="sk-SK"/>
        </w:rPr>
        <w:t>Slovenskej republiky</w:t>
      </w: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sk-SK"/>
        </w:rPr>
      </w:pPr>
      <w:r w:rsidRPr="009D422E">
        <w:rPr>
          <w:rFonts w:ascii="Times New Roman" w:hAnsi="Times New Roman"/>
          <w:b/>
          <w:noProof/>
          <w:sz w:val="28"/>
          <w:szCs w:val="28"/>
          <w:lang w:eastAsia="sk-SK"/>
        </w:rPr>
        <w:t>07 K 02 11 Program Monitoring a výskum v oblasti malého a stredného podnikania</w:t>
      </w: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sk-SK"/>
        </w:rPr>
      </w:pP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sk-SK"/>
        </w:rPr>
      </w:pP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noProof/>
          <w:sz w:val="28"/>
          <w:szCs w:val="28"/>
          <w:lang w:eastAsia="sk-SK"/>
        </w:rPr>
      </w:pPr>
    </w:p>
    <w:p w:rsidR="00891ACE" w:rsidRPr="009D422E" w:rsidRDefault="00891ACE" w:rsidP="00DA322D">
      <w:pPr>
        <w:widowControl w:val="0"/>
        <w:tabs>
          <w:tab w:val="left" w:pos="3665"/>
        </w:tabs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hAnsi="Times New Roman"/>
          <w:b/>
          <w:bCs/>
          <w:sz w:val="28"/>
          <w:szCs w:val="28"/>
          <w:lang w:eastAsia="cs-CZ"/>
        </w:rPr>
      </w:pPr>
      <w:r w:rsidRPr="009D422E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Pr="009D422E">
        <w:rPr>
          <w:rFonts w:ascii="Times New Roman" w:hAnsi="Times New Roman"/>
          <w:b/>
          <w:bCs/>
          <w:sz w:val="28"/>
          <w:szCs w:val="28"/>
          <w:lang w:eastAsia="cs-CZ"/>
        </w:rPr>
        <w:tab/>
      </w:r>
    </w:p>
    <w:p w:rsidR="00891ACE" w:rsidRPr="009D422E" w:rsidRDefault="00891ACE" w:rsidP="00DA322D">
      <w:pPr>
        <w:widowControl w:val="0"/>
        <w:tabs>
          <w:tab w:val="left" w:pos="3665"/>
        </w:tabs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891ACE" w:rsidRPr="009D422E" w:rsidRDefault="00891ACE" w:rsidP="00DA322D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sk-SK"/>
        </w:rPr>
      </w:pPr>
    </w:p>
    <w:p w:rsidR="00891ACE" w:rsidRPr="009D422E" w:rsidRDefault="00891ACE" w:rsidP="00DA322D">
      <w:pPr>
        <w:widowControl w:val="0"/>
        <w:tabs>
          <w:tab w:val="left" w:pos="3665"/>
        </w:tabs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891ACE" w:rsidRPr="009D422E" w:rsidRDefault="00891ACE" w:rsidP="00DA322D">
      <w:pPr>
        <w:widowControl w:val="0"/>
        <w:tabs>
          <w:tab w:val="left" w:pos="3665"/>
        </w:tabs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891ACE" w:rsidRPr="009D422E" w:rsidRDefault="00891ACE" w:rsidP="00DA322D">
      <w:pPr>
        <w:widowControl w:val="0"/>
        <w:tabs>
          <w:tab w:val="left" w:pos="3665"/>
        </w:tabs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cs-CZ" w:eastAsia="sk-SK"/>
        </w:rPr>
      </w:pP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bookmarkStart w:id="0" w:name="_Toc156796316"/>
      <w:bookmarkStart w:id="1" w:name="_Toc156796791"/>
      <w:bookmarkStart w:id="2" w:name="_Toc156797222"/>
      <w:bookmarkStart w:id="3" w:name="_Toc156797285"/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bookmarkEnd w:id="0"/>
    <w:bookmarkEnd w:id="1"/>
    <w:bookmarkEnd w:id="2"/>
    <w:bookmarkEnd w:id="3"/>
    <w:p w:rsidR="00891ACE" w:rsidRDefault="00891ACE" w:rsidP="00DA322D">
      <w:pPr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br w:type="page"/>
      </w:r>
    </w:p>
    <w:p w:rsidR="00891ACE" w:rsidRDefault="00891ACE" w:rsidP="00DA322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right="-1" w:hanging="426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D422E">
        <w:rPr>
          <w:rFonts w:ascii="Times New Roman" w:hAnsi="Times New Roman"/>
          <w:b/>
          <w:bCs/>
          <w:sz w:val="24"/>
          <w:szCs w:val="24"/>
          <w:lang w:eastAsia="sk-SK"/>
        </w:rPr>
        <w:lastRenderedPageBreak/>
        <w:t>Preambula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Pr="009D422E" w:rsidRDefault="00891ACE" w:rsidP="00DA322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Predmetom Programu Monitoring a výskum v oblasti malého a stredného podnikania (ďalej len „program“) je vykonávanie prieskumov a analýz stavu a vývoja malých a stredných podnikov (ďalej len „MSP“) a ich postavenia v podnikateľskom prostredí S</w:t>
      </w:r>
      <w:r>
        <w:rPr>
          <w:rFonts w:ascii="Times New Roman" w:hAnsi="Times New Roman"/>
          <w:sz w:val="24"/>
          <w:szCs w:val="24"/>
          <w:lang w:eastAsia="sk-SK"/>
        </w:rPr>
        <w:t xml:space="preserve">lovenskej republiky </w:t>
      </w:r>
      <w:r w:rsidRPr="009D422E">
        <w:rPr>
          <w:rFonts w:ascii="Times New Roman" w:hAnsi="Times New Roman"/>
          <w:sz w:val="24"/>
          <w:szCs w:val="24"/>
          <w:lang w:eastAsia="sk-SK"/>
        </w:rPr>
        <w:t>ako aj na Jednotnom trhu E</w:t>
      </w:r>
      <w:r>
        <w:rPr>
          <w:rFonts w:ascii="Times New Roman" w:hAnsi="Times New Roman"/>
          <w:sz w:val="24"/>
          <w:szCs w:val="24"/>
          <w:lang w:eastAsia="sk-SK"/>
        </w:rPr>
        <w:t>urópskej únie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a na globálnom trhu.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Pr="009D422E" w:rsidRDefault="00891ACE" w:rsidP="00DA322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 xml:space="preserve">Program je aktívnym vstupom do prípravy a realizácie politiky podpory rozvoja MSP. Slovensko má už relatívne rozvinutý sektor MSP, ktorý bol však v poslednom období vystavený viacerým negatívnym vplyvom. Tieto boli príčinou prebiehajúcej </w:t>
      </w:r>
      <w:proofErr w:type="spellStart"/>
      <w:r w:rsidRPr="009D422E">
        <w:rPr>
          <w:rFonts w:ascii="Times New Roman" w:hAnsi="Times New Roman"/>
          <w:sz w:val="24"/>
          <w:szCs w:val="24"/>
          <w:lang w:eastAsia="sk-SK"/>
        </w:rPr>
        <w:t>marginalizácie</w:t>
      </w:r>
      <w:proofErr w:type="spellEnd"/>
      <w:r w:rsidRPr="009D422E">
        <w:rPr>
          <w:rFonts w:ascii="Times New Roman" w:hAnsi="Times New Roman"/>
          <w:sz w:val="24"/>
          <w:szCs w:val="24"/>
          <w:lang w:eastAsia="sk-SK"/>
        </w:rPr>
        <w:t xml:space="preserve"> podnikov (presun podnikov z vyšších veľkostných kategórií do kategória </w:t>
      </w:r>
      <w:proofErr w:type="spellStart"/>
      <w:r w:rsidRPr="009D422E">
        <w:rPr>
          <w:rFonts w:ascii="Times New Roman" w:hAnsi="Times New Roman"/>
          <w:sz w:val="24"/>
          <w:szCs w:val="24"/>
          <w:lang w:eastAsia="sk-SK"/>
        </w:rPr>
        <w:t>mikropodnikov</w:t>
      </w:r>
      <w:proofErr w:type="spellEnd"/>
      <w:r w:rsidRPr="009D422E">
        <w:rPr>
          <w:rFonts w:ascii="Times New Roman" w:hAnsi="Times New Roman"/>
          <w:sz w:val="24"/>
          <w:szCs w:val="24"/>
          <w:lang w:eastAsia="sk-SK"/>
        </w:rPr>
        <w:t>), pokles</w:t>
      </w:r>
      <w:r>
        <w:rPr>
          <w:rFonts w:ascii="Times New Roman" w:hAnsi="Times New Roman"/>
          <w:sz w:val="24"/>
          <w:szCs w:val="24"/>
          <w:lang w:eastAsia="sk-SK"/>
        </w:rPr>
        <w:t>u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podnikateľskej aktivity, nízk</w:t>
      </w:r>
      <w:r>
        <w:rPr>
          <w:rFonts w:ascii="Times New Roman" w:hAnsi="Times New Roman"/>
          <w:sz w:val="24"/>
          <w:szCs w:val="24"/>
          <w:lang w:eastAsia="sk-SK"/>
        </w:rPr>
        <w:t>ej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mier</w:t>
      </w:r>
      <w:r>
        <w:rPr>
          <w:rFonts w:ascii="Times New Roman" w:hAnsi="Times New Roman"/>
          <w:sz w:val="24"/>
          <w:szCs w:val="24"/>
          <w:lang w:eastAsia="sk-SK"/>
        </w:rPr>
        <w:t>y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využívania inovácií ako aj ďalš</w:t>
      </w:r>
      <w:r>
        <w:rPr>
          <w:rFonts w:ascii="Times New Roman" w:hAnsi="Times New Roman"/>
          <w:sz w:val="24"/>
          <w:szCs w:val="24"/>
          <w:lang w:eastAsia="sk-SK"/>
        </w:rPr>
        <w:t>ích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štrukturáln</w:t>
      </w:r>
      <w:r>
        <w:rPr>
          <w:rFonts w:ascii="Times New Roman" w:hAnsi="Times New Roman"/>
          <w:sz w:val="24"/>
          <w:szCs w:val="24"/>
          <w:lang w:eastAsia="sk-SK"/>
        </w:rPr>
        <w:t>ych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problém</w:t>
      </w:r>
      <w:r>
        <w:rPr>
          <w:rFonts w:ascii="Times New Roman" w:hAnsi="Times New Roman"/>
          <w:sz w:val="24"/>
          <w:szCs w:val="24"/>
          <w:lang w:eastAsia="sk-SK"/>
        </w:rPr>
        <w:t>ov</w:t>
      </w:r>
      <w:r w:rsidRPr="009D422E">
        <w:rPr>
          <w:rFonts w:ascii="Times New Roman" w:hAnsi="Times New Roman"/>
          <w:sz w:val="24"/>
          <w:szCs w:val="24"/>
          <w:lang w:eastAsia="sk-SK"/>
        </w:rPr>
        <w:t>. Pre nastavenie podmienok pre udržateľný rast MSP je potrebná dostupnosť analytických informáci</w:t>
      </w:r>
      <w:r>
        <w:rPr>
          <w:rFonts w:ascii="Times New Roman" w:hAnsi="Times New Roman"/>
          <w:sz w:val="24"/>
          <w:szCs w:val="24"/>
          <w:lang w:eastAsia="sk-SK"/>
        </w:rPr>
        <w:t>í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a taktiež kvantitatívnych údajov o stave MSP a podnikateľského prostredia. Všetky informačné vstupy je potrebné analyzovať a odborne interpretovať v časových radoch na základe zvolenej množiny kritérií. Je veľmi dôležité výskum v oblasti MSP vykonávať systematicky a pravidelne, čo umožní jeho harmonizáciu a porovnanie s výsledkami iných krajín E</w:t>
      </w:r>
      <w:r>
        <w:rPr>
          <w:rFonts w:ascii="Times New Roman" w:hAnsi="Times New Roman"/>
          <w:sz w:val="24"/>
          <w:szCs w:val="24"/>
          <w:lang w:eastAsia="sk-SK"/>
        </w:rPr>
        <w:t>urópskej únie</w:t>
      </w:r>
      <w:r w:rsidRPr="009D422E">
        <w:rPr>
          <w:rFonts w:ascii="Times New Roman" w:hAnsi="Times New Roman"/>
          <w:sz w:val="24"/>
          <w:szCs w:val="19"/>
          <w:lang w:eastAsia="sk-SK"/>
        </w:rPr>
        <w:t>.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Pr="009D422E" w:rsidRDefault="00891ACE" w:rsidP="00DA322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D422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 súlade s odporúčaniami iniciatívy Zákon o malých a stredných podnikoch/ </w:t>
      </w:r>
      <w:proofErr w:type="spellStart"/>
      <w:r w:rsidRPr="009D422E">
        <w:rPr>
          <w:rFonts w:ascii="Times New Roman" w:hAnsi="Times New Roman"/>
          <w:color w:val="000000"/>
          <w:sz w:val="24"/>
          <w:szCs w:val="24"/>
          <w:lang w:eastAsia="sk-SK"/>
        </w:rPr>
        <w:t>Small</w:t>
      </w:r>
      <w:proofErr w:type="spellEnd"/>
      <w:r w:rsidRPr="009D422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D422E">
        <w:rPr>
          <w:rFonts w:ascii="Times New Roman" w:hAnsi="Times New Roman"/>
          <w:color w:val="000000"/>
          <w:sz w:val="24"/>
          <w:szCs w:val="24"/>
          <w:lang w:eastAsia="sk-SK"/>
        </w:rPr>
        <w:t>Business</w:t>
      </w:r>
      <w:proofErr w:type="spellEnd"/>
      <w:r w:rsidRPr="009D422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D422E">
        <w:rPr>
          <w:rFonts w:ascii="Times New Roman" w:hAnsi="Times New Roman"/>
          <w:color w:val="000000"/>
          <w:sz w:val="24"/>
          <w:szCs w:val="24"/>
          <w:lang w:eastAsia="sk-SK"/>
        </w:rPr>
        <w:t>Act</w:t>
      </w:r>
      <w:proofErr w:type="spellEnd"/>
      <w:r w:rsidRPr="009D422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(ďalej len „SBA“)</w:t>
      </w:r>
      <w:r w:rsidRPr="009D422E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footnoteReference w:id="1"/>
      </w:r>
      <w:r w:rsidRPr="009D422E">
        <w:rPr>
          <w:rFonts w:ascii="Times New Roman" w:hAnsi="Times New Roman"/>
          <w:color w:val="000000"/>
          <w:sz w:val="24"/>
          <w:szCs w:val="24"/>
          <w:lang w:eastAsia="sk-SK"/>
        </w:rPr>
        <w:t>, Akčného plánu pre podnikanie 2020</w:t>
      </w:r>
      <w:r w:rsidRPr="009D422E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footnoteReference w:id="2"/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)</w:t>
      </w:r>
      <w:r w:rsidRPr="009D422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ako aj ex </w:t>
      </w:r>
      <w:proofErr w:type="spellStart"/>
      <w:r w:rsidRPr="009D422E">
        <w:rPr>
          <w:rFonts w:ascii="Times New Roman" w:hAnsi="Times New Roman"/>
          <w:color w:val="000000"/>
          <w:sz w:val="24"/>
          <w:szCs w:val="24"/>
          <w:lang w:eastAsia="sk-SK"/>
        </w:rPr>
        <w:t>ante</w:t>
      </w:r>
      <w:proofErr w:type="spellEnd"/>
      <w:r w:rsidRPr="009D422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D422E">
        <w:rPr>
          <w:rFonts w:ascii="Times New Roman" w:hAnsi="Times New Roman"/>
          <w:color w:val="000000"/>
          <w:sz w:val="24"/>
          <w:szCs w:val="24"/>
          <w:lang w:eastAsia="sk-SK"/>
        </w:rPr>
        <w:t>kondicionality</w:t>
      </w:r>
      <w:proofErr w:type="spellEnd"/>
      <w:r w:rsidRPr="009D422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3.1 </w:t>
      </w:r>
      <w:r w:rsidRPr="009D422E">
        <w:rPr>
          <w:rFonts w:ascii="Times New Roman" w:hAnsi="Times New Roman"/>
          <w:i/>
          <w:color w:val="000000"/>
          <w:sz w:val="24"/>
          <w:szCs w:val="24"/>
          <w:lang w:eastAsia="sk-SK"/>
        </w:rPr>
        <w:t>Vykonali sa konkrétne činnosti na posilnenie presadzovania podnikania s prihliadnutím na iniciatívu „</w:t>
      </w:r>
      <w:proofErr w:type="spellStart"/>
      <w:r w:rsidRPr="009D422E">
        <w:rPr>
          <w:rFonts w:ascii="Times New Roman" w:hAnsi="Times New Roman"/>
          <w:i/>
          <w:color w:val="000000"/>
          <w:sz w:val="24"/>
          <w:szCs w:val="24"/>
          <w:lang w:eastAsia="sk-SK"/>
        </w:rPr>
        <w:t>Small</w:t>
      </w:r>
      <w:proofErr w:type="spellEnd"/>
      <w:r w:rsidRPr="009D422E">
        <w:rPr>
          <w:rFonts w:ascii="Times New Roman" w:hAnsi="Times New Roman"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9D422E">
        <w:rPr>
          <w:rFonts w:ascii="Times New Roman" w:hAnsi="Times New Roman"/>
          <w:i/>
          <w:color w:val="000000"/>
          <w:sz w:val="24"/>
          <w:szCs w:val="24"/>
          <w:lang w:eastAsia="sk-SK"/>
        </w:rPr>
        <w:t>Business</w:t>
      </w:r>
      <w:proofErr w:type="spellEnd"/>
      <w:r w:rsidRPr="009D422E">
        <w:rPr>
          <w:rFonts w:ascii="Times New Roman" w:hAnsi="Times New Roman"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9D422E">
        <w:rPr>
          <w:rFonts w:ascii="Times New Roman" w:hAnsi="Times New Roman"/>
          <w:i/>
          <w:color w:val="000000"/>
          <w:sz w:val="24"/>
          <w:szCs w:val="24"/>
          <w:lang w:eastAsia="sk-SK"/>
        </w:rPr>
        <w:t>Act</w:t>
      </w:r>
      <w:proofErr w:type="spellEnd"/>
      <w:r w:rsidRPr="009D422E">
        <w:rPr>
          <w:rFonts w:ascii="Times New Roman" w:hAnsi="Times New Roman"/>
          <w:i/>
          <w:color w:val="000000"/>
          <w:sz w:val="24"/>
          <w:szCs w:val="24"/>
          <w:lang w:eastAsia="sk-SK"/>
        </w:rPr>
        <w:t xml:space="preserve">“ (SBA) </w:t>
      </w:r>
      <w:r w:rsidRPr="009D422E">
        <w:rPr>
          <w:rFonts w:ascii="Times New Roman" w:hAnsi="Times New Roman"/>
          <w:color w:val="000000"/>
          <w:sz w:val="24"/>
          <w:szCs w:val="24"/>
          <w:lang w:eastAsia="sk-SK"/>
        </w:rPr>
        <w:t>všeobecného nariadenia o európ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s</w:t>
      </w:r>
      <w:r w:rsidRPr="009D422E">
        <w:rPr>
          <w:rFonts w:ascii="Times New Roman" w:hAnsi="Times New Roman"/>
          <w:color w:val="000000"/>
          <w:sz w:val="24"/>
          <w:szCs w:val="24"/>
          <w:lang w:eastAsia="sk-SK"/>
        </w:rPr>
        <w:t>kych štrukturálnych a investičných fondoch</w:t>
      </w:r>
      <w:r w:rsidRPr="009D422E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footnoteReference w:id="3"/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)</w:t>
      </w:r>
      <w:r w:rsidRPr="009D422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je potrebné zabezpečiť podklady potrebné pre navrhovanie a realizáciu opatrení zameraných na podporu MSP v súlade s princípmi SBA. Pre potreby aktivít Vyslanca pre MSP (SME </w:t>
      </w:r>
      <w:proofErr w:type="spellStart"/>
      <w:r w:rsidRPr="009D422E">
        <w:rPr>
          <w:rFonts w:ascii="Times New Roman" w:hAnsi="Times New Roman"/>
          <w:color w:val="000000"/>
          <w:sz w:val="24"/>
          <w:szCs w:val="24"/>
          <w:lang w:eastAsia="sk-SK"/>
        </w:rPr>
        <w:t>Envoy</w:t>
      </w:r>
      <w:proofErr w:type="spellEnd"/>
      <w:r w:rsidRPr="009D422E">
        <w:rPr>
          <w:rFonts w:ascii="Times New Roman" w:hAnsi="Times New Roman"/>
          <w:color w:val="000000"/>
          <w:sz w:val="24"/>
          <w:szCs w:val="24"/>
          <w:lang w:eastAsia="sk-SK"/>
        </w:rPr>
        <w:t>) je potrebné realizovať pravidelné hodnotenia uplatňovania princípov SBA na Slovensku.</w:t>
      </w:r>
    </w:p>
    <w:p w:rsidR="00891ACE" w:rsidRDefault="00891ACE" w:rsidP="00DA3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Default="00891ACE" w:rsidP="00DA322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right="-1" w:hanging="426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D422E">
        <w:rPr>
          <w:rFonts w:ascii="Times New Roman" w:hAnsi="Times New Roman"/>
          <w:b/>
          <w:bCs/>
          <w:sz w:val="24"/>
          <w:szCs w:val="24"/>
          <w:lang w:eastAsia="sk-SK"/>
        </w:rPr>
        <w:t>Právny základ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Právnym základom  na poskytovanie pomoci podľa tohto programu je:</w:t>
      </w:r>
    </w:p>
    <w:p w:rsidR="00891ACE" w:rsidRDefault="00891ACE" w:rsidP="00DA322D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Zákon č. 523/2004 Z. z. o rozpočtových pravidlách verejnej správy a o zmene a doplnení niektorých zákonov v znení neskorších predpisov (ďalej len „zákon č. 523/2004 Z. z.“),</w:t>
      </w:r>
    </w:p>
    <w:p w:rsidR="00891ACE" w:rsidRDefault="00891ACE" w:rsidP="00DA322D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Zákon č. 71/2013 Z. z. o poskytovaní dotácií v pôsobnosti Ministerstva hospodárstva Slovenskej republiky (ďalej len „zákon č. 71/2013 Z. z.“),</w:t>
      </w:r>
    </w:p>
    <w:p w:rsidR="00891ACE" w:rsidRDefault="00891ACE" w:rsidP="00DA322D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Zákon č. 502/2001 Z. z. o finančnej kontrole a vnútornom audite a o zmene a doplnení niektorých zákonov v znení neskorších predpisov</w:t>
      </w:r>
      <w:r>
        <w:rPr>
          <w:rFonts w:ascii="Times New Roman" w:hAnsi="Times New Roman"/>
          <w:sz w:val="24"/>
          <w:szCs w:val="24"/>
          <w:lang w:eastAsia="sk-SK"/>
        </w:rPr>
        <w:t xml:space="preserve"> (ďalej len „zákon č. 502/2001 Z. z.“)</w:t>
      </w:r>
      <w:r w:rsidRPr="009D422E">
        <w:rPr>
          <w:rFonts w:ascii="Times New Roman" w:hAnsi="Times New Roman"/>
          <w:sz w:val="24"/>
          <w:szCs w:val="24"/>
          <w:lang w:eastAsia="sk-SK"/>
        </w:rPr>
        <w:t>,</w:t>
      </w:r>
    </w:p>
    <w:p w:rsidR="00891ACE" w:rsidRDefault="00891ACE" w:rsidP="00DA322D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Zákon č. 431/2002 Z. z. o účtovníctve v znení neskorších predpisov (ďalej len „zákon o účtovníctve“).</w:t>
      </w:r>
    </w:p>
    <w:p w:rsidR="00891ACE" w:rsidRDefault="00891ACE" w:rsidP="00DA32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Ďalšie dokumenty nelegislatívnej povahy:</w:t>
      </w:r>
    </w:p>
    <w:p w:rsidR="00891ACE" w:rsidRDefault="00891ACE" w:rsidP="00DA322D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Zákon o malých a stredných podnikoch (</w:t>
      </w:r>
      <w:proofErr w:type="spellStart"/>
      <w:r w:rsidRPr="009D422E">
        <w:rPr>
          <w:rFonts w:ascii="Times New Roman" w:hAnsi="Times New Roman"/>
          <w:sz w:val="24"/>
          <w:szCs w:val="24"/>
          <w:lang w:eastAsia="sk-SK"/>
        </w:rPr>
        <w:t>Small</w:t>
      </w:r>
      <w:proofErr w:type="spellEnd"/>
      <w:r w:rsidRPr="009D422E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9D422E">
        <w:rPr>
          <w:rFonts w:ascii="Times New Roman" w:hAnsi="Times New Roman"/>
          <w:sz w:val="24"/>
          <w:szCs w:val="24"/>
          <w:lang w:eastAsia="sk-SK"/>
        </w:rPr>
        <w:t>Business</w:t>
      </w:r>
      <w:proofErr w:type="spellEnd"/>
      <w:r w:rsidRPr="009D422E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9D422E">
        <w:rPr>
          <w:rFonts w:ascii="Times New Roman" w:hAnsi="Times New Roman"/>
          <w:sz w:val="24"/>
          <w:szCs w:val="24"/>
          <w:lang w:eastAsia="sk-SK"/>
        </w:rPr>
        <w:t>Act</w:t>
      </w:r>
      <w:proofErr w:type="spellEnd"/>
      <w:r w:rsidRPr="009D422E">
        <w:rPr>
          <w:rFonts w:ascii="Times New Roman" w:hAnsi="Times New Roman"/>
          <w:sz w:val="24"/>
          <w:szCs w:val="24"/>
          <w:lang w:eastAsia="sk-SK"/>
        </w:rPr>
        <w:t>), iniciatíva Európskej únie na podporu malého stredného podnikania (KOM(2008) 394)</w:t>
      </w:r>
    </w:p>
    <w:p w:rsidR="00891ACE" w:rsidRDefault="00891ACE" w:rsidP="00DA322D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color w:val="000000"/>
          <w:sz w:val="24"/>
          <w:szCs w:val="24"/>
          <w:lang w:eastAsia="sk-SK"/>
        </w:rPr>
        <w:t>Akčný plán pre podnikanie 2020, plán stimulácie podnikateľského potenciálu v snahe prinavrátiť Európe rast (KOM(2012) 795)</w:t>
      </w:r>
    </w:p>
    <w:p w:rsidR="00891ACE" w:rsidRDefault="00891ACE" w:rsidP="0011447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91ACE" w:rsidRDefault="00891ACE" w:rsidP="00DA322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right="-1" w:hanging="426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D422E">
        <w:rPr>
          <w:rFonts w:ascii="Times New Roman" w:hAnsi="Times New Roman"/>
          <w:b/>
          <w:bCs/>
          <w:sz w:val="24"/>
          <w:szCs w:val="24"/>
          <w:lang w:eastAsia="sk-SK"/>
        </w:rPr>
        <w:t>Cieľ pomoci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 xml:space="preserve">Cieľom programu je zabezpečenie systematického monitorovania podnikateľského prostredia a MSP v SR vo vzťahu k uplatňovaniu jednotlivých princípov SBA. Podpora spočíva vo financovaní nákladov na prípravu a realizáciu prieskumov a analýz ako aj na </w:t>
      </w:r>
      <w:proofErr w:type="spellStart"/>
      <w:r w:rsidRPr="009D422E">
        <w:rPr>
          <w:rFonts w:ascii="Times New Roman" w:hAnsi="Times New Roman"/>
          <w:sz w:val="24"/>
          <w:szCs w:val="24"/>
          <w:lang w:eastAsia="sk-SK"/>
        </w:rPr>
        <w:t>disemináciu</w:t>
      </w:r>
      <w:proofErr w:type="spellEnd"/>
      <w:r w:rsidRPr="009D422E">
        <w:rPr>
          <w:rFonts w:ascii="Times New Roman" w:hAnsi="Times New Roman"/>
          <w:sz w:val="24"/>
          <w:szCs w:val="24"/>
          <w:lang w:eastAsia="sk-SK"/>
        </w:rPr>
        <w:t xml:space="preserve"> ich výsledkov. 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891ACE" w:rsidRDefault="00891ACE" w:rsidP="00DA322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D422E">
        <w:rPr>
          <w:rFonts w:ascii="Times New Roman" w:hAnsi="Times New Roman"/>
          <w:b/>
          <w:bCs/>
          <w:sz w:val="24"/>
          <w:szCs w:val="24"/>
          <w:lang w:eastAsia="sk-SK"/>
        </w:rPr>
        <w:t>Poskytovateľ pomoci a vykonávate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ľ </w:t>
      </w:r>
      <w:r w:rsidRPr="009D422E">
        <w:rPr>
          <w:rFonts w:ascii="Times New Roman" w:hAnsi="Times New Roman"/>
          <w:b/>
          <w:bCs/>
          <w:sz w:val="24"/>
          <w:szCs w:val="24"/>
          <w:lang w:eastAsia="sk-SK"/>
        </w:rPr>
        <w:t>programu</w:t>
      </w: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eastAsia="sk-SK"/>
        </w:rPr>
      </w:pP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eastAsia="sk-SK"/>
        </w:rPr>
      </w:pPr>
      <w:r w:rsidRPr="009D422E">
        <w:rPr>
          <w:rFonts w:ascii="Times New Roman" w:eastAsia="TimesNewRoman" w:hAnsi="Times New Roman"/>
          <w:sz w:val="24"/>
          <w:szCs w:val="24"/>
          <w:lang w:eastAsia="sk-SK"/>
        </w:rPr>
        <w:t xml:space="preserve">Poskytovateľ pomoci </w:t>
      </w:r>
      <w:r>
        <w:rPr>
          <w:rFonts w:ascii="Times New Roman" w:eastAsia="TimesNewRoman" w:hAnsi="Times New Roman"/>
          <w:sz w:val="24"/>
          <w:szCs w:val="24"/>
          <w:lang w:eastAsia="sk-SK"/>
        </w:rPr>
        <w:t xml:space="preserve">a vyhlasovateľ programu </w:t>
      </w:r>
      <w:r w:rsidRPr="009D422E">
        <w:rPr>
          <w:rFonts w:ascii="Times New Roman" w:eastAsia="TimesNewRoman" w:hAnsi="Times New Roman"/>
          <w:sz w:val="24"/>
          <w:szCs w:val="24"/>
          <w:lang w:eastAsia="sk-SK"/>
        </w:rPr>
        <w:t>je Ministerstvo hospodárstva Slovenskej republiky (ďalej len „poskytovateľ“).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sk-SK"/>
        </w:rPr>
      </w:pPr>
      <w:r w:rsidRPr="009D422E">
        <w:rPr>
          <w:rFonts w:ascii="Times New Roman" w:hAnsi="Times New Roman"/>
          <w:b/>
          <w:bCs/>
          <w:i/>
          <w:iCs/>
          <w:sz w:val="24"/>
          <w:szCs w:val="24"/>
          <w:lang w:eastAsia="sk-SK"/>
        </w:rPr>
        <w:t>Poskytovateľ: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Ministerstvo hospodárstva Slovenskej republiky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Mierová 19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827 15 Bratislava 212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tel. ústredňa: 02/4854 1111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 xml:space="preserve">webové sídlo: </w:t>
      </w:r>
      <w:hyperlink r:id="rId9" w:history="1">
        <w:r w:rsidRPr="009D422E">
          <w:rPr>
            <w:rFonts w:ascii="Times New Roman" w:hAnsi="Times New Roman"/>
            <w:sz w:val="24"/>
            <w:szCs w:val="24"/>
            <w:u w:val="single"/>
            <w:lang w:eastAsia="sk-SK"/>
          </w:rPr>
          <w:t>www.mhsr.sk</w:t>
        </w:r>
      </w:hyperlink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sk-SK"/>
        </w:rPr>
      </w:pPr>
      <w:r w:rsidRPr="009D422E">
        <w:rPr>
          <w:rFonts w:ascii="Times New Roman" w:hAnsi="Times New Roman"/>
          <w:b/>
          <w:bCs/>
          <w:i/>
          <w:iCs/>
          <w:sz w:val="24"/>
          <w:szCs w:val="24"/>
          <w:lang w:eastAsia="sk-SK"/>
        </w:rPr>
        <w:t>Vykonávateľ:</w:t>
      </w:r>
    </w:p>
    <w:p w:rsidR="00891ACE" w:rsidRPr="0011213E" w:rsidRDefault="00891ACE" w:rsidP="00DA322D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="TimesNewRoman" w:hAnsi="Times New Roman"/>
          <w:strike/>
          <w:sz w:val="24"/>
          <w:szCs w:val="24"/>
          <w:u w:val="single"/>
          <w:lang w:eastAsia="sk-SK"/>
        </w:rPr>
      </w:pPr>
      <w:r w:rsidRPr="009D422E">
        <w:rPr>
          <w:rFonts w:ascii="Times New Roman" w:eastAsia="TimesNewRoman" w:hAnsi="Times New Roman"/>
          <w:sz w:val="24"/>
          <w:szCs w:val="24"/>
          <w:lang w:eastAsia="sk-SK"/>
        </w:rPr>
        <w:t xml:space="preserve">Vykonávateľ programu bude vybraný </w:t>
      </w:r>
      <w:r>
        <w:rPr>
          <w:rFonts w:ascii="Times New Roman" w:eastAsia="TimesNewRoman" w:hAnsi="Times New Roman"/>
          <w:sz w:val="24"/>
          <w:szCs w:val="24"/>
          <w:lang w:eastAsia="sk-SK"/>
        </w:rPr>
        <w:t xml:space="preserve">na základe transparentného výberového konania, v súlade </w:t>
      </w:r>
      <w:r w:rsidR="003C68A4">
        <w:rPr>
          <w:rFonts w:ascii="Times New Roman" w:eastAsia="TimesNewRoman" w:hAnsi="Times New Roman"/>
          <w:sz w:val="24"/>
          <w:szCs w:val="24"/>
          <w:lang w:eastAsia="sk-SK"/>
        </w:rPr>
        <w:br/>
      </w:r>
      <w:r>
        <w:rPr>
          <w:rFonts w:ascii="Times New Roman" w:eastAsia="TimesNewRoman" w:hAnsi="Times New Roman"/>
          <w:sz w:val="24"/>
          <w:szCs w:val="24"/>
          <w:lang w:eastAsia="sk-SK"/>
        </w:rPr>
        <w:t>s postupom uvedeným v z</w:t>
      </w:r>
      <w:r w:rsidRPr="009D422E">
        <w:rPr>
          <w:rFonts w:ascii="Times New Roman" w:eastAsia="TimesNewRoman" w:hAnsi="Times New Roman"/>
          <w:sz w:val="24"/>
          <w:szCs w:val="24"/>
          <w:lang w:eastAsia="sk-SK"/>
        </w:rPr>
        <w:t>ákon</w:t>
      </w:r>
      <w:r>
        <w:rPr>
          <w:rFonts w:ascii="Times New Roman" w:eastAsia="TimesNewRoman" w:hAnsi="Times New Roman"/>
          <w:sz w:val="24"/>
          <w:szCs w:val="24"/>
          <w:lang w:eastAsia="sk-SK"/>
        </w:rPr>
        <w:t>e</w:t>
      </w:r>
      <w:r w:rsidRPr="009D422E">
        <w:rPr>
          <w:rFonts w:ascii="Times New Roman" w:eastAsia="TimesNewRoman" w:hAnsi="Times New Roman"/>
          <w:sz w:val="24"/>
          <w:szCs w:val="24"/>
          <w:lang w:eastAsia="sk-SK"/>
        </w:rPr>
        <w:t xml:space="preserve"> č. 71/2013 Z. z.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891ACE" w:rsidRDefault="00891ACE" w:rsidP="00DA322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right="-1" w:hanging="426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D422E">
        <w:rPr>
          <w:rFonts w:ascii="Times New Roman" w:hAnsi="Times New Roman"/>
          <w:b/>
          <w:bCs/>
          <w:sz w:val="24"/>
          <w:szCs w:val="24"/>
          <w:lang w:eastAsia="sk-SK"/>
        </w:rPr>
        <w:t>Prijímatelia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A2F8F" w:rsidRPr="00716838" w:rsidRDefault="005A2F8F" w:rsidP="005A2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716838">
        <w:rPr>
          <w:rFonts w:ascii="Times New Roman" w:hAnsi="Times New Roman"/>
          <w:sz w:val="24"/>
          <w:szCs w:val="24"/>
          <w:lang w:eastAsia="sk-SK"/>
        </w:rPr>
        <w:t xml:space="preserve">Program je určený širokej verejnosti. </w:t>
      </w:r>
      <w:r w:rsidRPr="00716838">
        <w:rPr>
          <w:rFonts w:ascii="Times New Roman" w:hAnsi="Times New Roman"/>
          <w:bCs/>
          <w:sz w:val="24"/>
          <w:szCs w:val="24"/>
          <w:lang w:eastAsia="sk-SK"/>
        </w:rPr>
        <w:t>Prijímateľom pomoci prostredníctvom tohto programu nesmie byť podnik v zmysle čl. 107 Zmluvy o fungovaní EÚ, t. j. subjekt  ktorý vykonáva hospodársku činnosť bez ohľadu na svoje právne postavenie a spôsob financovania.</w:t>
      </w:r>
    </w:p>
    <w:p w:rsidR="005A2F8F" w:rsidRPr="00716838" w:rsidRDefault="005A2F8F" w:rsidP="005A2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Default="00891ACE" w:rsidP="00B273BF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891ACE" w:rsidRDefault="00891ACE" w:rsidP="00DA322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D422E">
        <w:rPr>
          <w:rFonts w:ascii="Times New Roman" w:hAnsi="Times New Roman"/>
          <w:b/>
          <w:bCs/>
          <w:sz w:val="24"/>
          <w:szCs w:val="24"/>
          <w:lang w:eastAsia="sk-SK"/>
        </w:rPr>
        <w:t>Oprávnené projekty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Program je zameraný na:</w:t>
      </w:r>
    </w:p>
    <w:p w:rsidR="00891ACE" w:rsidRPr="009D422E" w:rsidRDefault="00891ACE" w:rsidP="00DA32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monitorovanie podnikateľského prostredia s dôrazom na sektor MSP z pohľadu uplatňovania jednotlivých princípov SBA,</w:t>
      </w:r>
    </w:p>
    <w:p w:rsidR="00891ACE" w:rsidRPr="009D422E" w:rsidRDefault="00891ACE" w:rsidP="00DA32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identifikovanie zlyhaní trhu v prostredí MSP, na ktoré by mali byť zamerané podporné opatrenia,</w:t>
      </w:r>
    </w:p>
    <w:p w:rsidR="00891ACE" w:rsidRPr="009D422E" w:rsidRDefault="00891ACE" w:rsidP="00DA32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identifikovanie a prípravu návrhov opatrení a nástrojov pre realizáciu politík podpory MSP.</w:t>
      </w:r>
    </w:p>
    <w:p w:rsidR="00891ACE" w:rsidRPr="009D422E" w:rsidRDefault="00891ACE" w:rsidP="00DA322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Default="00891ACE" w:rsidP="00DA322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D422E">
        <w:rPr>
          <w:rFonts w:ascii="Times New Roman" w:hAnsi="Times New Roman"/>
          <w:b/>
          <w:bCs/>
          <w:sz w:val="24"/>
          <w:szCs w:val="24"/>
          <w:lang w:eastAsia="sk-SK"/>
        </w:rPr>
        <w:t>Oprávnené výdavky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Oprávnené výdavky vynaložené v súlade s cieľom programu sú najmä výdavky na:</w:t>
      </w:r>
    </w:p>
    <w:p w:rsidR="00891ACE" w:rsidRPr="009D422E" w:rsidRDefault="00891ACE" w:rsidP="00DA32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realizáci</w:t>
      </w:r>
      <w:r>
        <w:rPr>
          <w:rFonts w:ascii="Times New Roman" w:hAnsi="Times New Roman"/>
          <w:sz w:val="24"/>
          <w:szCs w:val="24"/>
          <w:lang w:eastAsia="sk-SK"/>
        </w:rPr>
        <w:t>u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prieskumov sektora MSP/ podnikateľského prostredia,</w:t>
      </w:r>
    </w:p>
    <w:p w:rsidR="00891ACE" w:rsidRPr="009D422E" w:rsidRDefault="00891ACE" w:rsidP="00DA32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spracovanie analýz podnikateľského prostredia a prebiehajúcich trendov v podnikaní MSP,</w:t>
      </w:r>
    </w:p>
    <w:p w:rsidR="00891ACE" w:rsidRPr="009D422E" w:rsidRDefault="00891ACE" w:rsidP="00DA32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 xml:space="preserve">určenie absorpčnej kapacity navrhovaných podporných opatrení z hľadiska jednotlivých cieľových skupín MSP, </w:t>
      </w:r>
    </w:p>
    <w:p w:rsidR="00891ACE" w:rsidRPr="009D422E" w:rsidRDefault="00891ACE" w:rsidP="00DA32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spracovanie podkladov pre prípravu opatrení a nástrojov na podporu MSP,</w:t>
      </w:r>
    </w:p>
    <w:p w:rsidR="00891ACE" w:rsidRPr="009D422E" w:rsidRDefault="00891ACE" w:rsidP="00DA32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 xml:space="preserve">spracovanie správ a podkladov pre potreby </w:t>
      </w:r>
      <w:r>
        <w:rPr>
          <w:rFonts w:ascii="Times New Roman" w:hAnsi="Times New Roman"/>
          <w:sz w:val="24"/>
          <w:szCs w:val="24"/>
          <w:lang w:eastAsia="sk-SK"/>
        </w:rPr>
        <w:t>v</w:t>
      </w:r>
      <w:r w:rsidRPr="009D422E">
        <w:rPr>
          <w:rFonts w:ascii="Times New Roman" w:hAnsi="Times New Roman"/>
          <w:sz w:val="24"/>
          <w:szCs w:val="24"/>
          <w:lang w:eastAsia="sk-SK"/>
        </w:rPr>
        <w:t>yslanca pre MSP,</w:t>
      </w:r>
    </w:p>
    <w:p w:rsidR="00891ACE" w:rsidRPr="009D422E" w:rsidRDefault="00891ACE" w:rsidP="00DA32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spracovanie a tlač informačných dokumentov a správ o podnikateľskom prostredí,</w:t>
      </w:r>
    </w:p>
    <w:p w:rsidR="00891ACE" w:rsidRPr="009D422E" w:rsidRDefault="00891ACE" w:rsidP="00DA32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lastRenderedPageBreak/>
        <w:t xml:space="preserve">preklad dokumentov spracovaných v rámci programu, alebo súvisiacich s agendou </w:t>
      </w:r>
      <w:r>
        <w:rPr>
          <w:rFonts w:ascii="Times New Roman" w:hAnsi="Times New Roman"/>
          <w:sz w:val="24"/>
          <w:szCs w:val="24"/>
          <w:lang w:eastAsia="sk-SK"/>
        </w:rPr>
        <w:t>v</w:t>
      </w:r>
      <w:r w:rsidRPr="009D422E">
        <w:rPr>
          <w:rFonts w:ascii="Times New Roman" w:hAnsi="Times New Roman"/>
          <w:sz w:val="24"/>
          <w:szCs w:val="24"/>
          <w:lang w:eastAsia="sk-SK"/>
        </w:rPr>
        <w:t>yslanca pre MSP, resp. s iniciatívou SBA vo všeobecnosti,</w:t>
      </w:r>
    </w:p>
    <w:p w:rsidR="00891ACE" w:rsidRDefault="00891ACE" w:rsidP="00DA32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organizácia seminárov a konferencií zameraných na prezentáciu výsledkov programu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891ACE" w:rsidRDefault="00891ACE" w:rsidP="00B273B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Pr="009D422E" w:rsidRDefault="00891ACE" w:rsidP="00B273B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Default="00891ACE" w:rsidP="00DA322D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D422E">
        <w:rPr>
          <w:rFonts w:ascii="Times New Roman" w:hAnsi="Times New Roman"/>
          <w:b/>
          <w:bCs/>
          <w:sz w:val="24"/>
          <w:szCs w:val="24"/>
          <w:lang w:eastAsia="sk-SK"/>
        </w:rPr>
        <w:t>Forma pomoci</w:t>
      </w:r>
    </w:p>
    <w:p w:rsidR="00891ACE" w:rsidRPr="009D422E" w:rsidRDefault="00891ACE" w:rsidP="00DA32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Default="00891ACE" w:rsidP="00DA322D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V rámci programu je poskytovaná nepriama pomoc formou zabezpečovania informovanosti verejnosti o podmienkach podnikania, podnikateľskom prostredí a uplatňovaní iniciatívy SBA na Slovensku.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Default="00891ACE" w:rsidP="00DA322D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 xml:space="preserve">Výsledky programu budú vo forme správ k dispozícii zainteresovaným subjektom verejnej správy - ako podklad pre kompetentné rozhodovanie o zmenách podnikateľského prostredia a efektívnej podpore MSP, ako aj </w:t>
      </w:r>
      <w:r>
        <w:rPr>
          <w:rFonts w:ascii="Times New Roman" w:hAnsi="Times New Roman"/>
          <w:sz w:val="24"/>
          <w:szCs w:val="24"/>
          <w:lang w:eastAsia="sk-SK"/>
        </w:rPr>
        <w:t>univerzitám, akademickým inštitúciám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a širokej verejnosti. Dokumenty budú sprístupnené </w:t>
      </w:r>
      <w:r>
        <w:rPr>
          <w:rFonts w:ascii="Times New Roman" w:hAnsi="Times New Roman"/>
          <w:sz w:val="24"/>
          <w:szCs w:val="24"/>
          <w:lang w:eastAsia="sk-SK"/>
        </w:rPr>
        <w:t xml:space="preserve">na webovom sídle poskytovateľa 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a vykonávateľa programu, čiastočne aj v tlačenej forme. 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91ACE" w:rsidRDefault="00891ACE" w:rsidP="00DA322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D422E">
        <w:rPr>
          <w:rFonts w:ascii="Times New Roman" w:hAnsi="Times New Roman"/>
          <w:b/>
          <w:bCs/>
          <w:sz w:val="24"/>
          <w:szCs w:val="24"/>
          <w:lang w:eastAsia="sk-SK"/>
        </w:rPr>
        <w:t>Podmienky poskytnutia pomoci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 xml:space="preserve">Podpora bude poskytnutá výhradne na aktivity súvisiace s predmetom a účelom pomoci </w:t>
      </w:r>
      <w:r>
        <w:rPr>
          <w:rFonts w:ascii="Times New Roman" w:hAnsi="Times New Roman"/>
          <w:sz w:val="24"/>
          <w:szCs w:val="24"/>
          <w:lang w:eastAsia="sk-SK"/>
        </w:rPr>
        <w:t xml:space="preserve">podľa článku 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C) a F) </w:t>
      </w:r>
      <w:r>
        <w:rPr>
          <w:rFonts w:ascii="Times New Roman" w:hAnsi="Times New Roman"/>
          <w:sz w:val="24"/>
          <w:szCs w:val="24"/>
          <w:lang w:eastAsia="sk-SK"/>
        </w:rPr>
        <w:t xml:space="preserve">tohto 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programu a musí byť v súlade so zákonom o štátnom rozpočte na príslušný rok a s ním súvisiacimi predpismi. Základnou podmienkou poskytnutia podpory je finančné krytie programu v rozpočtovej kapitole </w:t>
      </w:r>
      <w:r>
        <w:rPr>
          <w:rFonts w:ascii="Times New Roman" w:hAnsi="Times New Roman"/>
          <w:sz w:val="24"/>
          <w:szCs w:val="24"/>
          <w:lang w:eastAsia="sk-SK"/>
        </w:rPr>
        <w:t xml:space="preserve">poskytovateľa </w:t>
      </w:r>
      <w:r w:rsidRPr="009D422E">
        <w:rPr>
          <w:rFonts w:ascii="Times New Roman" w:hAnsi="Times New Roman"/>
          <w:sz w:val="24"/>
          <w:szCs w:val="24"/>
          <w:lang w:eastAsia="sk-SK"/>
        </w:rPr>
        <w:t>na príslušný rok.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91ACE" w:rsidRDefault="00891ACE" w:rsidP="00DA322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D422E">
        <w:rPr>
          <w:rFonts w:ascii="Times New Roman" w:hAnsi="Times New Roman"/>
          <w:b/>
          <w:bCs/>
          <w:sz w:val="24"/>
          <w:szCs w:val="24"/>
          <w:lang w:eastAsia="sk-SK"/>
        </w:rPr>
        <w:t>Mechanizmus poskytovania pomoci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91ACE" w:rsidRDefault="00891ACE" w:rsidP="00DA322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 xml:space="preserve">Vykonávateľ priebežne zabezpečuje realizáciu jednotlivých aktivít. Finančné prostriedky </w:t>
      </w:r>
      <w:r w:rsidRPr="009D422E">
        <w:rPr>
          <w:rFonts w:ascii="Times New Roman" w:hAnsi="Times New Roman"/>
          <w:sz w:val="24"/>
          <w:szCs w:val="24"/>
          <w:lang w:eastAsia="sk-SK"/>
        </w:rPr>
        <w:br/>
        <w:t xml:space="preserve">zo štátneho rozpočtu (rozpočtovej kapitoly </w:t>
      </w:r>
      <w:r>
        <w:rPr>
          <w:rFonts w:ascii="Times New Roman" w:hAnsi="Times New Roman"/>
          <w:sz w:val="24"/>
          <w:szCs w:val="24"/>
          <w:lang w:eastAsia="sk-SK"/>
        </w:rPr>
        <w:t>poskytovateľa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) budú zo strany </w:t>
      </w:r>
      <w:r>
        <w:rPr>
          <w:rFonts w:ascii="Times New Roman" w:hAnsi="Times New Roman"/>
          <w:sz w:val="24"/>
          <w:szCs w:val="24"/>
          <w:lang w:eastAsia="sk-SK"/>
        </w:rPr>
        <w:t xml:space="preserve">poskytovateľa 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poskytnuté vykonávateľovi na základe </w:t>
      </w:r>
      <w:r>
        <w:rPr>
          <w:rFonts w:ascii="Times New Roman" w:hAnsi="Times New Roman"/>
          <w:sz w:val="24"/>
          <w:szCs w:val="24"/>
          <w:lang w:eastAsia="sk-SK"/>
        </w:rPr>
        <w:t>z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mluvy medzi </w:t>
      </w:r>
      <w:r>
        <w:rPr>
          <w:rFonts w:ascii="Times New Roman" w:hAnsi="Times New Roman"/>
          <w:sz w:val="24"/>
          <w:szCs w:val="24"/>
          <w:lang w:eastAsia="sk-SK"/>
        </w:rPr>
        <w:t xml:space="preserve">poskytovateľom 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a vykonávateľom. </w:t>
      </w:r>
    </w:p>
    <w:p w:rsidR="00891ACE" w:rsidRPr="009D422E" w:rsidRDefault="00891ACE" w:rsidP="00DA3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Pr="009D422E" w:rsidRDefault="00891ACE" w:rsidP="00DA322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9" w:lineRule="exact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 xml:space="preserve">Po uzatvorení </w:t>
      </w:r>
      <w:r>
        <w:rPr>
          <w:rFonts w:ascii="Times New Roman" w:hAnsi="Times New Roman"/>
          <w:sz w:val="24"/>
          <w:szCs w:val="24"/>
          <w:lang w:eastAsia="sk-SK"/>
        </w:rPr>
        <w:t>z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mluvy medzi </w:t>
      </w:r>
      <w:r>
        <w:rPr>
          <w:rFonts w:ascii="Times New Roman" w:hAnsi="Times New Roman"/>
          <w:sz w:val="24"/>
          <w:szCs w:val="24"/>
          <w:lang w:eastAsia="sk-SK"/>
        </w:rPr>
        <w:t>poskytovateľom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a vykonávateľom, vypracuje vykonávateľ návrh pracovného plánu zahrňujúci vypracovanie štúdií a analýz na príslušný rozpočtový rok. Návrh pracovného plánu schvaľuje za </w:t>
      </w:r>
      <w:r>
        <w:rPr>
          <w:rFonts w:ascii="Times New Roman" w:hAnsi="Times New Roman"/>
          <w:sz w:val="24"/>
          <w:szCs w:val="24"/>
          <w:lang w:eastAsia="sk-SK"/>
        </w:rPr>
        <w:t>poskytovateľa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riaditeľ odboru, do kompetencie ktorého patrí oblasť malého a stredného podnikania a za vykonávateľa riaditeľ sekcie, do kompetencie ktorého patrí realizácia národných podporných programov. Počas rozpočtového rok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môže dôjsť po vzájomnej dohode k úprave pracovného plánu, ktorá bude vykonaná formou dodatkov. 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Default="00891ACE" w:rsidP="00DA322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right="-1" w:hanging="426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D422E">
        <w:rPr>
          <w:rFonts w:ascii="Times New Roman" w:hAnsi="Times New Roman"/>
          <w:b/>
          <w:bCs/>
          <w:sz w:val="24"/>
          <w:szCs w:val="24"/>
          <w:lang w:eastAsia="sk-SK"/>
        </w:rPr>
        <w:t>Rozpočet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91ACE" w:rsidRPr="009D422E" w:rsidRDefault="00891ACE" w:rsidP="00DA322D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Indikatívna výška výdavkov plánovaných v rámci programu je:</w:t>
      </w:r>
    </w:p>
    <w:p w:rsidR="00891ACE" w:rsidRPr="009D422E" w:rsidRDefault="00891ACE" w:rsidP="00DA322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» 2014: 2</w:t>
      </w:r>
      <w:r>
        <w:rPr>
          <w:rFonts w:ascii="Times New Roman" w:hAnsi="Times New Roman"/>
          <w:sz w:val="24"/>
          <w:szCs w:val="24"/>
          <w:lang w:eastAsia="sk-SK"/>
        </w:rPr>
        <w:t>0 </w:t>
      </w:r>
      <w:r w:rsidRPr="009D422E">
        <w:rPr>
          <w:rFonts w:ascii="Times New Roman" w:hAnsi="Times New Roman"/>
          <w:sz w:val="24"/>
          <w:szCs w:val="24"/>
          <w:lang w:eastAsia="sk-SK"/>
        </w:rPr>
        <w:t>000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EUR</w:t>
      </w:r>
      <w:r>
        <w:rPr>
          <w:rFonts w:ascii="Times New Roman" w:hAnsi="Times New Roman"/>
          <w:sz w:val="24"/>
          <w:szCs w:val="24"/>
          <w:lang w:eastAsia="sk-SK"/>
        </w:rPr>
        <w:t xml:space="preserve"> – schválený rozpočet,</w:t>
      </w:r>
    </w:p>
    <w:p w:rsidR="00891ACE" w:rsidRPr="009D422E" w:rsidRDefault="00891ACE" w:rsidP="00DA322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» 2015: 500 000 EUR– navrhovaný rozpočet</w:t>
      </w:r>
      <w:r>
        <w:rPr>
          <w:rFonts w:ascii="Times New Roman" w:hAnsi="Times New Roman"/>
          <w:sz w:val="24"/>
          <w:szCs w:val="24"/>
          <w:lang w:eastAsia="sk-SK"/>
        </w:rPr>
        <w:t>,</w:t>
      </w:r>
    </w:p>
    <w:p w:rsidR="00891ACE" w:rsidRPr="009D422E" w:rsidRDefault="00891ACE" w:rsidP="00DA322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» 2016: 500 000 EUR– navrhovaný rozpočet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891ACE" w:rsidRPr="009D422E" w:rsidRDefault="00891ACE" w:rsidP="00DA322D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91ACE" w:rsidRPr="009D422E" w:rsidRDefault="00891ACE" w:rsidP="00DA322D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359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9D422E">
        <w:rPr>
          <w:rFonts w:ascii="Times New Roman" w:hAnsi="Times New Roman"/>
          <w:bCs/>
          <w:sz w:val="24"/>
          <w:szCs w:val="24"/>
          <w:lang w:eastAsia="sk-SK"/>
        </w:rPr>
        <w:t xml:space="preserve">Finančné prostriedky na realizáciu programu budú hradené z programu poskytovateľa </w:t>
      </w:r>
      <w:r w:rsidRPr="009D422E">
        <w:rPr>
          <w:rFonts w:ascii="Times New Roman" w:hAnsi="Times New Roman"/>
          <w:bCs/>
          <w:sz w:val="24"/>
          <w:szCs w:val="24"/>
          <w:lang w:eastAsia="sk-SK"/>
        </w:rPr>
        <w:br/>
        <w:t xml:space="preserve">07 K 02 11 Monitoring a výskum v oblasti malého a stredného podnikania. 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ind w:left="3082" w:right="309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891ACE" w:rsidRDefault="00891ACE" w:rsidP="00DA322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right="-1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D422E">
        <w:rPr>
          <w:rFonts w:ascii="Times New Roman" w:hAnsi="Times New Roman"/>
          <w:b/>
          <w:bCs/>
          <w:sz w:val="24"/>
          <w:szCs w:val="24"/>
          <w:lang w:eastAsia="sk-SK"/>
        </w:rPr>
        <w:t>Transparentnos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ť </w:t>
      </w:r>
      <w:r w:rsidRPr="009D422E">
        <w:rPr>
          <w:rFonts w:ascii="Times New Roman" w:hAnsi="Times New Roman"/>
          <w:b/>
          <w:bCs/>
          <w:sz w:val="24"/>
          <w:szCs w:val="24"/>
          <w:lang w:eastAsia="sk-SK"/>
        </w:rPr>
        <w:t>a monitorovanie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91ACE" w:rsidRDefault="00891ACE" w:rsidP="00DA322D">
      <w:pPr>
        <w:widowControl w:val="0"/>
        <w:numPr>
          <w:ilvl w:val="0"/>
          <w:numId w:val="1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eastAsia="TimesNewRoman" w:hAnsi="Times New Roman"/>
          <w:sz w:val="24"/>
          <w:szCs w:val="24"/>
          <w:lang w:eastAsia="sk-SK"/>
        </w:rPr>
        <w:t xml:space="preserve">Poskytovateľ a vykonávateľ po nadobudnutí účinnosti programu, resp. jeho dodatku, zabezpečia </w:t>
      </w:r>
      <w:r w:rsidRPr="009D422E">
        <w:rPr>
          <w:rFonts w:ascii="Times New Roman" w:eastAsia="TimesNewRoman" w:hAnsi="Times New Roman"/>
          <w:sz w:val="24"/>
          <w:szCs w:val="24"/>
          <w:lang w:eastAsia="sk-SK"/>
        </w:rPr>
        <w:lastRenderedPageBreak/>
        <w:t xml:space="preserve">jeho zverejnenie v platnom znení na svojich webových sídlach v trvaní </w:t>
      </w:r>
      <w:r>
        <w:rPr>
          <w:rFonts w:ascii="Times New Roman" w:eastAsia="TimesNewRoman" w:hAnsi="Times New Roman"/>
          <w:sz w:val="24"/>
          <w:szCs w:val="24"/>
          <w:lang w:eastAsia="sk-SK"/>
        </w:rPr>
        <w:t xml:space="preserve">najmenej </w:t>
      </w:r>
      <w:r w:rsidRPr="009D422E">
        <w:rPr>
          <w:rFonts w:ascii="Times New Roman" w:eastAsia="TimesNewRoman" w:hAnsi="Times New Roman"/>
          <w:sz w:val="24"/>
          <w:szCs w:val="24"/>
          <w:lang w:eastAsia="sk-SK"/>
        </w:rPr>
        <w:t>počas obdobia jeho účinnosti.</w:t>
      </w:r>
    </w:p>
    <w:p w:rsidR="00891ACE" w:rsidRPr="009D422E" w:rsidRDefault="00891ACE" w:rsidP="00DA322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Default="00891ACE" w:rsidP="00DA322D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Poskytovateľ a vykonávateľ kontrolujú dodržiavanie všetkých podmienok stanovených v tomto programe a dodržiavanie ostatných platných predpisov.</w:t>
      </w:r>
    </w:p>
    <w:p w:rsidR="00891ACE" w:rsidRDefault="00891ACE" w:rsidP="00DA322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Pr="009D422E" w:rsidRDefault="00891ACE" w:rsidP="00DA322D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Vykonávateľ uchováva záznamy týkajúce sa programu počas 10 rokov od</w:t>
      </w:r>
      <w:r>
        <w:rPr>
          <w:rFonts w:ascii="Times New Roman" w:hAnsi="Times New Roman"/>
          <w:sz w:val="24"/>
          <w:szCs w:val="24"/>
          <w:lang w:eastAsia="sk-SK"/>
        </w:rPr>
        <w:t>o dňa</w:t>
      </w:r>
      <w:r w:rsidRPr="009D422E">
        <w:rPr>
          <w:rFonts w:ascii="Times New Roman" w:hAnsi="Times New Roman"/>
          <w:sz w:val="24"/>
          <w:szCs w:val="24"/>
          <w:lang w:eastAsia="sk-SK"/>
        </w:rPr>
        <w:t>, kedy sa uskutočnila posledná aktivita v rámci programu.</w:t>
      </w:r>
    </w:p>
    <w:p w:rsidR="00891ACE" w:rsidRPr="009D422E" w:rsidRDefault="00891ACE" w:rsidP="00DA322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Default="00891ACE" w:rsidP="00DA322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right="-1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D422E">
        <w:rPr>
          <w:rFonts w:ascii="Times New Roman" w:hAnsi="Times New Roman"/>
          <w:b/>
          <w:bCs/>
          <w:sz w:val="24"/>
          <w:szCs w:val="24"/>
          <w:lang w:eastAsia="sk-SK"/>
        </w:rPr>
        <w:t>Kontrola a vnútorný audit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91ACE" w:rsidRDefault="00891ACE" w:rsidP="00DA322D">
      <w:pPr>
        <w:widowControl w:val="0"/>
        <w:numPr>
          <w:ilvl w:val="0"/>
          <w:numId w:val="4"/>
        </w:numPr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 w:hanging="33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 xml:space="preserve">Poskytovateľ, vykonávateľ a ostatné orgány štátnej správy sú oprávnení vykonať kontrolu vynaložených verejných prostriedkov v súlade so zákonom č. 502/2001 Z. z. a zákonom č. 523/2004 Z. z. </w:t>
      </w:r>
    </w:p>
    <w:p w:rsidR="00891ACE" w:rsidRPr="009D422E" w:rsidRDefault="00891ACE" w:rsidP="00DA322D">
      <w:pPr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Default="00891ACE" w:rsidP="00DA322D">
      <w:pPr>
        <w:widowControl w:val="0"/>
        <w:numPr>
          <w:ilvl w:val="0"/>
          <w:numId w:val="4"/>
        </w:numPr>
        <w:tabs>
          <w:tab w:val="left" w:pos="3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Subjektmi následnej finančnej kontroly a vnútorného auditu sú:</w:t>
      </w:r>
    </w:p>
    <w:p w:rsidR="00891ACE" w:rsidRPr="009D422E" w:rsidRDefault="00891ACE" w:rsidP="00DA322D">
      <w:pPr>
        <w:widowControl w:val="0"/>
        <w:numPr>
          <w:ilvl w:val="0"/>
          <w:numId w:val="2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 xml:space="preserve">Útvar kontroly poskytovateľa a </w:t>
      </w:r>
      <w:r>
        <w:rPr>
          <w:rFonts w:ascii="Times New Roman" w:hAnsi="Times New Roman"/>
          <w:sz w:val="24"/>
          <w:szCs w:val="24"/>
          <w:lang w:eastAsia="sk-SK"/>
        </w:rPr>
        <w:t>M</w:t>
      </w:r>
      <w:r w:rsidRPr="009D422E">
        <w:rPr>
          <w:rFonts w:ascii="Times New Roman" w:hAnsi="Times New Roman"/>
          <w:sz w:val="24"/>
          <w:szCs w:val="24"/>
          <w:lang w:eastAsia="sk-SK"/>
        </w:rPr>
        <w:t>inisterstva financií</w:t>
      </w:r>
      <w:r>
        <w:rPr>
          <w:rFonts w:ascii="Times New Roman" w:hAnsi="Times New Roman"/>
          <w:sz w:val="24"/>
          <w:szCs w:val="24"/>
          <w:lang w:eastAsia="sk-SK"/>
        </w:rPr>
        <w:t xml:space="preserve"> SR</w:t>
      </w:r>
      <w:r w:rsidRPr="009D422E">
        <w:rPr>
          <w:rFonts w:ascii="Times New Roman" w:hAnsi="Times New Roman"/>
          <w:sz w:val="24"/>
          <w:szCs w:val="24"/>
          <w:lang w:eastAsia="sk-SK"/>
        </w:rPr>
        <w:t>,</w:t>
      </w:r>
    </w:p>
    <w:p w:rsidR="00891ACE" w:rsidRPr="009D422E" w:rsidRDefault="00891ACE" w:rsidP="00DA322D">
      <w:pPr>
        <w:widowControl w:val="0"/>
        <w:numPr>
          <w:ilvl w:val="0"/>
          <w:numId w:val="2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Najvyšší kontrolný úrad Slovenskej republiky,</w:t>
      </w:r>
    </w:p>
    <w:p w:rsidR="00891ACE" w:rsidRPr="009D422E" w:rsidRDefault="00891ACE" w:rsidP="00DA322D">
      <w:pPr>
        <w:widowControl w:val="0"/>
        <w:numPr>
          <w:ilvl w:val="0"/>
          <w:numId w:val="2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Správy finančnej kontroly,</w:t>
      </w:r>
    </w:p>
    <w:p w:rsidR="00891ACE" w:rsidRPr="009D422E" w:rsidRDefault="00891ACE" w:rsidP="00DA322D">
      <w:pPr>
        <w:widowControl w:val="0"/>
        <w:numPr>
          <w:ilvl w:val="0"/>
          <w:numId w:val="2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 xml:space="preserve">Útvar vnútorného auditu poskytovateľa a </w:t>
      </w:r>
      <w:r>
        <w:rPr>
          <w:rFonts w:ascii="Times New Roman" w:hAnsi="Times New Roman"/>
          <w:sz w:val="24"/>
          <w:szCs w:val="24"/>
          <w:lang w:eastAsia="sk-SK"/>
        </w:rPr>
        <w:t>M</w:t>
      </w:r>
      <w:r w:rsidRPr="009D422E">
        <w:rPr>
          <w:rFonts w:ascii="Times New Roman" w:hAnsi="Times New Roman"/>
          <w:sz w:val="24"/>
          <w:szCs w:val="24"/>
          <w:lang w:eastAsia="sk-SK"/>
        </w:rPr>
        <w:t>inisterstva financií</w:t>
      </w:r>
      <w:r>
        <w:rPr>
          <w:rFonts w:ascii="Times New Roman" w:hAnsi="Times New Roman"/>
          <w:sz w:val="24"/>
          <w:szCs w:val="24"/>
          <w:lang w:eastAsia="sk-SK"/>
        </w:rPr>
        <w:t xml:space="preserve"> SR, </w:t>
      </w:r>
    </w:p>
    <w:p w:rsidR="00891ACE" w:rsidRPr="009D422E" w:rsidRDefault="00891ACE" w:rsidP="00DA322D">
      <w:pPr>
        <w:widowControl w:val="0"/>
        <w:numPr>
          <w:ilvl w:val="0"/>
          <w:numId w:val="2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Vykonávateľ.</w:t>
      </w:r>
    </w:p>
    <w:p w:rsidR="00891ACE" w:rsidRPr="009D422E" w:rsidRDefault="00891ACE" w:rsidP="00DA322D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eastAsia="sk-SK"/>
        </w:rPr>
      </w:pP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3. Vykonávateľ</w:t>
      </w:r>
      <w:r w:rsidRPr="009D422E">
        <w:rPr>
          <w:rFonts w:ascii="Times New Roman" w:hAnsi="Times New Roman"/>
          <w:color w:val="FF0000"/>
          <w:sz w:val="24"/>
          <w:szCs w:val="24"/>
          <w:lang w:eastAsia="sk-SK"/>
        </w:rPr>
        <w:t xml:space="preserve"> </w:t>
      </w:r>
      <w:r w:rsidRPr="009D422E">
        <w:rPr>
          <w:rFonts w:ascii="Times New Roman" w:hAnsi="Times New Roman"/>
          <w:sz w:val="24"/>
          <w:szCs w:val="24"/>
          <w:lang w:eastAsia="sk-SK"/>
        </w:rPr>
        <w:t>vytvorí zamestnancom subjektov podľa bodu 2</w:t>
      </w:r>
      <w:r>
        <w:rPr>
          <w:rFonts w:ascii="Times New Roman" w:hAnsi="Times New Roman"/>
          <w:sz w:val="24"/>
          <w:szCs w:val="24"/>
          <w:lang w:eastAsia="sk-SK"/>
        </w:rPr>
        <w:t>.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tohto článku, vykonávajúcim kontrolu, primerané podmienky na riadne a včasné vykonanie kontroly a poskytne im potrebnú súčinnosť a všetky vyžiadané informácie a listiny týkajúce sa najmä realizácie programu, stavu jeho rozpracovanosti a použitia vyčlenených zdrojov.</w:t>
      </w:r>
    </w:p>
    <w:p w:rsidR="00891ACE" w:rsidRPr="009D422E" w:rsidRDefault="00891ACE" w:rsidP="00DA322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  <w:lang w:eastAsia="sk-SK"/>
        </w:rPr>
      </w:pPr>
    </w:p>
    <w:p w:rsidR="00891ACE" w:rsidRDefault="00891ACE" w:rsidP="00DA322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right="-1" w:hanging="426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D422E">
        <w:rPr>
          <w:rFonts w:ascii="Times New Roman" w:hAnsi="Times New Roman"/>
          <w:b/>
          <w:bCs/>
          <w:sz w:val="24"/>
          <w:szCs w:val="24"/>
          <w:lang w:eastAsia="sk-SK"/>
        </w:rPr>
        <w:t>Komunikačný plán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ind w:left="357" w:hanging="73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 xml:space="preserve">Vykonávateľ zverejní na svojom webovom sídle pracovný plán (plán aktivít) programu </w:t>
      </w:r>
      <w:r w:rsidRPr="009D422E">
        <w:rPr>
          <w:rFonts w:ascii="Times New Roman" w:hAnsi="Times New Roman"/>
          <w:sz w:val="24"/>
          <w:szCs w:val="24"/>
          <w:lang w:eastAsia="sk-SK"/>
        </w:rPr>
        <w:br/>
        <w:t>na príslušný rok.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Default="00891ACE" w:rsidP="00DA322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right="-1" w:hanging="426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D422E">
        <w:rPr>
          <w:rFonts w:ascii="Times New Roman" w:hAnsi="Times New Roman"/>
          <w:b/>
          <w:bCs/>
          <w:sz w:val="24"/>
          <w:szCs w:val="24"/>
          <w:lang w:eastAsia="sk-SK"/>
        </w:rPr>
        <w:t>Platnosť a účinnosť programu</w:t>
      </w:r>
    </w:p>
    <w:p w:rsidR="00891ACE" w:rsidRPr="009D422E" w:rsidRDefault="00891ACE" w:rsidP="00DA322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91ACE" w:rsidRDefault="00891ACE" w:rsidP="00DA322D">
      <w:pPr>
        <w:widowControl w:val="0"/>
        <w:numPr>
          <w:ilvl w:val="0"/>
          <w:numId w:val="5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Program</w:t>
      </w:r>
      <w:r>
        <w:rPr>
          <w:rFonts w:ascii="Times New Roman" w:hAnsi="Times New Roman"/>
          <w:sz w:val="24"/>
          <w:szCs w:val="24"/>
          <w:lang w:eastAsia="sk-SK"/>
        </w:rPr>
        <w:t xml:space="preserve"> alebo</w:t>
      </w:r>
      <w:r w:rsidRPr="009D422E">
        <w:rPr>
          <w:rFonts w:ascii="Times New Roman" w:hAnsi="Times New Roman"/>
          <w:sz w:val="24"/>
          <w:szCs w:val="24"/>
          <w:lang w:eastAsia="sk-SK"/>
        </w:rPr>
        <w:t xml:space="preserve"> dodatok k programu nadobúda platnosť a účinnosť dňom jeho zverejnenia v Obchodnom vestníku. Poskytovateľ zabezpečí zverejnenie programu</w:t>
      </w:r>
      <w:r>
        <w:rPr>
          <w:rFonts w:ascii="Times New Roman" w:hAnsi="Times New Roman"/>
          <w:sz w:val="24"/>
          <w:szCs w:val="24"/>
          <w:lang w:eastAsia="sk-SK"/>
        </w:rPr>
        <w:t xml:space="preserve"> alebo </w:t>
      </w:r>
      <w:r w:rsidRPr="009D422E">
        <w:rPr>
          <w:rFonts w:ascii="Times New Roman" w:hAnsi="Times New Roman"/>
          <w:sz w:val="24"/>
          <w:szCs w:val="24"/>
          <w:lang w:eastAsia="sk-SK"/>
        </w:rPr>
        <w:t>dodatku k programu v Obchodnom vestníku. Následne poskytovateľ a vykonávateľ zabezpečia zverejnenie programu resp. dodatku k programu na svojich webových sídlach.</w:t>
      </w:r>
    </w:p>
    <w:p w:rsidR="00891ACE" w:rsidRPr="009D422E" w:rsidRDefault="00891ACE" w:rsidP="00DA322D">
      <w:pPr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Default="00891ACE" w:rsidP="00DA322D">
      <w:pPr>
        <w:widowControl w:val="0"/>
        <w:numPr>
          <w:ilvl w:val="0"/>
          <w:numId w:val="5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Zmeny v programe je možné vykonať formou písomných dodatkov k programu, pričom platnosť a účinnosť každého dodatku nastáva dňom jeho zverejnenia v Obchodnom vestníku.</w:t>
      </w:r>
    </w:p>
    <w:p w:rsidR="00891ACE" w:rsidRPr="009D422E" w:rsidRDefault="00891ACE" w:rsidP="00DA322D">
      <w:pPr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1ACE" w:rsidRDefault="00891ACE" w:rsidP="00DA322D">
      <w:pPr>
        <w:widowControl w:val="0"/>
        <w:numPr>
          <w:ilvl w:val="0"/>
          <w:numId w:val="5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422E">
        <w:rPr>
          <w:rFonts w:ascii="Times New Roman" w:hAnsi="Times New Roman"/>
          <w:sz w:val="24"/>
          <w:szCs w:val="24"/>
          <w:lang w:eastAsia="sk-SK"/>
        </w:rPr>
        <w:t>Platnosť programu končí 31. 03. 2017.</w:t>
      </w:r>
      <w:bookmarkStart w:id="4" w:name="_GoBack"/>
      <w:bookmarkEnd w:id="4"/>
    </w:p>
    <w:p w:rsidR="00891ACE" w:rsidRPr="00DA322D" w:rsidRDefault="00891ACE" w:rsidP="00DA322D"/>
    <w:sectPr w:rsidR="00891ACE" w:rsidRPr="00DA322D" w:rsidSect="006007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D70" w:rsidRDefault="003A3D70" w:rsidP="0093493D">
      <w:pPr>
        <w:spacing w:after="0" w:line="240" w:lineRule="auto"/>
      </w:pPr>
      <w:r>
        <w:separator/>
      </w:r>
    </w:p>
  </w:endnote>
  <w:endnote w:type="continuationSeparator" w:id="0">
    <w:p w:rsidR="003A3D70" w:rsidRDefault="003A3D70" w:rsidP="0093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ACE" w:rsidRDefault="00891AC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ACE" w:rsidRDefault="00F649E2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613A08">
      <w:rPr>
        <w:noProof/>
      </w:rPr>
      <w:t>2</w:t>
    </w:r>
    <w:r>
      <w:rPr>
        <w:noProof/>
      </w:rPr>
      <w:fldChar w:fldCharType="end"/>
    </w:r>
  </w:p>
  <w:p w:rsidR="00891ACE" w:rsidRDefault="00891AC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ACE" w:rsidRDefault="00891AC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D70" w:rsidRDefault="003A3D70" w:rsidP="0093493D">
      <w:pPr>
        <w:spacing w:after="0" w:line="240" w:lineRule="auto"/>
      </w:pPr>
      <w:r>
        <w:separator/>
      </w:r>
    </w:p>
  </w:footnote>
  <w:footnote w:type="continuationSeparator" w:id="0">
    <w:p w:rsidR="003A3D70" w:rsidRDefault="003A3D70" w:rsidP="0093493D">
      <w:pPr>
        <w:spacing w:after="0" w:line="240" w:lineRule="auto"/>
      </w:pPr>
      <w:r>
        <w:continuationSeparator/>
      </w:r>
    </w:p>
  </w:footnote>
  <w:footnote w:id="1">
    <w:p w:rsidR="00891ACE" w:rsidRDefault="00891ACE" w:rsidP="00DA322D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BC5927">
        <w:rPr>
          <w:sz w:val="16"/>
          <w:szCs w:val="16"/>
        </w:rPr>
        <w:t>Kľúčová iniciatíva EÚ na podporu MSP,</w:t>
      </w:r>
      <w:r>
        <w:t xml:space="preserve"> </w:t>
      </w:r>
      <w:hyperlink r:id="rId1" w:history="1">
        <w:r w:rsidRPr="00BC5927">
          <w:rPr>
            <w:rStyle w:val="Hypertextovprepojenie"/>
            <w:sz w:val="16"/>
            <w:szCs w:val="16"/>
          </w:rPr>
          <w:t>http://ec.europa.eu/enterprise/policies/sme/small-business-act/index_en.htm</w:t>
        </w:r>
      </w:hyperlink>
    </w:p>
  </w:footnote>
  <w:footnote w:id="2">
    <w:p w:rsidR="00891ACE" w:rsidRDefault="00891ACE" w:rsidP="00DA322D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2B6679">
        <w:rPr>
          <w:sz w:val="16"/>
          <w:szCs w:val="16"/>
        </w:rPr>
        <w:t>Oznámenie Komisie Európskemu parlamentu, Rade, Európskemu hospodárskemu a sociálnemu výboru a výboru regiónov č.COM(2012) 795,</w:t>
      </w:r>
      <w:r>
        <w:t xml:space="preserve"> </w:t>
      </w:r>
      <w:hyperlink r:id="rId2" w:history="1">
        <w:r w:rsidRPr="002B6679">
          <w:rPr>
            <w:rStyle w:val="Hypertextovprepojenie"/>
            <w:sz w:val="16"/>
            <w:szCs w:val="16"/>
          </w:rPr>
          <w:t>http://eur-lex.europa.eu/LexUriServ/LexUriServ.do?uri=COM:2012:0795:FIN:SK:PDF</w:t>
        </w:r>
      </w:hyperlink>
      <w:r>
        <w:t xml:space="preserve"> </w:t>
      </w:r>
    </w:p>
  </w:footnote>
  <w:footnote w:id="3">
    <w:p w:rsidR="00891ACE" w:rsidRDefault="00891ACE" w:rsidP="00DA322D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2B6679">
        <w:rPr>
          <w:sz w:val="16"/>
          <w:szCs w:val="16"/>
        </w:rPr>
        <w:t>Nariadenie Európskeho parlamentu a Rady (EÚ) č.1303/2013</w:t>
      </w:r>
      <w:r>
        <w:rPr>
          <w:sz w:val="16"/>
          <w:szCs w:val="16"/>
        </w:rPr>
        <w:t xml:space="preserve">, </w:t>
      </w:r>
      <w:hyperlink r:id="rId3" w:history="1">
        <w:r w:rsidRPr="00BB316D">
          <w:rPr>
            <w:rStyle w:val="Hypertextovprepojenie"/>
            <w:sz w:val="16"/>
            <w:szCs w:val="16"/>
          </w:rPr>
          <w:t>http://eur-lex.europa.eu/LexUriServ/LexUriServ.do?uri=OJ:L:2013:347:0320:0469:SK:PDF</w:t>
        </w:r>
      </w:hyperlink>
      <w:r w:rsidRPr="002B6679">
        <w:rPr>
          <w:rStyle w:val="Hypertextovprepojen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ACE" w:rsidRDefault="00891AC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ACE" w:rsidRDefault="00891AC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ACE" w:rsidRDefault="00891AC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215B"/>
    <w:multiLevelType w:val="hybridMultilevel"/>
    <w:tmpl w:val="1204809E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089458DC"/>
    <w:multiLevelType w:val="hybridMultilevel"/>
    <w:tmpl w:val="97480D26"/>
    <w:lvl w:ilvl="0" w:tplc="498CCCC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EF3810"/>
    <w:multiLevelType w:val="hybridMultilevel"/>
    <w:tmpl w:val="D7905064"/>
    <w:lvl w:ilvl="0" w:tplc="7EFE4368">
      <w:start w:val="1"/>
      <w:numFmt w:val="upperLetter"/>
      <w:lvlText w:val="%1)"/>
      <w:lvlJc w:val="left"/>
      <w:pPr>
        <w:ind w:left="19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3">
    <w:nsid w:val="35831F83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36FC27E7"/>
    <w:multiLevelType w:val="hybridMultilevel"/>
    <w:tmpl w:val="E80CA140"/>
    <w:lvl w:ilvl="0" w:tplc="3826967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4306AA"/>
    <w:multiLevelType w:val="singleLevel"/>
    <w:tmpl w:val="117E7C3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6">
    <w:nsid w:val="4BFA0204"/>
    <w:multiLevelType w:val="hybridMultilevel"/>
    <w:tmpl w:val="FB769E7C"/>
    <w:lvl w:ilvl="0" w:tplc="3B08F726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92B59EE"/>
    <w:multiLevelType w:val="singleLevel"/>
    <w:tmpl w:val="B45C9E4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6E0D3082"/>
    <w:multiLevelType w:val="hybridMultilevel"/>
    <w:tmpl w:val="4C744D5A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64166E7"/>
    <w:multiLevelType w:val="hybridMultilevel"/>
    <w:tmpl w:val="466887F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97559A9"/>
    <w:multiLevelType w:val="hybridMultilevel"/>
    <w:tmpl w:val="05E462E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93D"/>
    <w:rsid w:val="000017A6"/>
    <w:rsid w:val="00020981"/>
    <w:rsid w:val="00051397"/>
    <w:rsid w:val="00075314"/>
    <w:rsid w:val="0011213E"/>
    <w:rsid w:val="0011447A"/>
    <w:rsid w:val="00230910"/>
    <w:rsid w:val="002B6679"/>
    <w:rsid w:val="003A3D70"/>
    <w:rsid w:val="003C68A4"/>
    <w:rsid w:val="003D7057"/>
    <w:rsid w:val="004064E9"/>
    <w:rsid w:val="0042262D"/>
    <w:rsid w:val="00490B99"/>
    <w:rsid w:val="004E505E"/>
    <w:rsid w:val="00583C29"/>
    <w:rsid w:val="005A2F8F"/>
    <w:rsid w:val="006007BD"/>
    <w:rsid w:val="00613A08"/>
    <w:rsid w:val="006B289F"/>
    <w:rsid w:val="006F50F3"/>
    <w:rsid w:val="00772C10"/>
    <w:rsid w:val="007D4DCF"/>
    <w:rsid w:val="007F1DC1"/>
    <w:rsid w:val="008906A4"/>
    <w:rsid w:val="00891ACE"/>
    <w:rsid w:val="00902964"/>
    <w:rsid w:val="0093493D"/>
    <w:rsid w:val="009D422E"/>
    <w:rsid w:val="00AE15E0"/>
    <w:rsid w:val="00B273BF"/>
    <w:rsid w:val="00BB316D"/>
    <w:rsid w:val="00BC5927"/>
    <w:rsid w:val="00C9421C"/>
    <w:rsid w:val="00D60140"/>
    <w:rsid w:val="00DA322D"/>
    <w:rsid w:val="00ED723B"/>
    <w:rsid w:val="00F0357E"/>
    <w:rsid w:val="00F50BEA"/>
    <w:rsid w:val="00F649E2"/>
    <w:rsid w:val="00FB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2C10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ft,fn,Footnote Text Char1,Footnote Text Char Char,Footnote,_Poznámka pod čiarou"/>
    <w:basedOn w:val="Normlny"/>
    <w:link w:val="TextpoznmkypodiarouChar"/>
    <w:uiPriority w:val="99"/>
    <w:rsid w:val="0093493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ft Char,fn Char,Footnote Text Char1 Char,Footnote Text Char Char Char,Footnote Char,_Poznámka pod čiarou Char"/>
    <w:basedOn w:val="Predvolenpsmoodseku"/>
    <w:link w:val="Textpoznmkypodiarou"/>
    <w:uiPriority w:val="99"/>
    <w:locked/>
    <w:rsid w:val="0093493D"/>
    <w:rPr>
      <w:rFonts w:ascii="Calibri" w:hAnsi="Calibri"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rsid w:val="0093493D"/>
    <w:rPr>
      <w:rFonts w:cs="Times New Roman"/>
      <w:color w:val="333399"/>
      <w:u w:val="single"/>
    </w:rPr>
  </w:style>
  <w:style w:type="character" w:styleId="Odkaznapoznmkupodiarou">
    <w:name w:val="footnote reference"/>
    <w:aliases w:val="Footnote symbol"/>
    <w:basedOn w:val="Predvolenpsmoodseku"/>
    <w:uiPriority w:val="99"/>
    <w:rsid w:val="0093493D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934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3493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99"/>
    <w:qFormat/>
    <w:rsid w:val="0093493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60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007BD"/>
    <w:rPr>
      <w:rFonts w:cs="Times New Roman"/>
    </w:rPr>
  </w:style>
  <w:style w:type="paragraph" w:styleId="Pta">
    <w:name w:val="footer"/>
    <w:basedOn w:val="Normlny"/>
    <w:link w:val="PtaChar"/>
    <w:uiPriority w:val="99"/>
    <w:rsid w:val="0060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6007BD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rsid w:val="007F1DC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F1DC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F1DC1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F1D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F1DC1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2C10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ft,fn,Footnote Text Char1,Footnote Text Char Char,Footnote,_Poznámka pod čiarou"/>
    <w:basedOn w:val="Normlny"/>
    <w:link w:val="TextpoznmkypodiarouChar"/>
    <w:uiPriority w:val="99"/>
    <w:rsid w:val="0093493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ft Char,fn Char,Footnote Text Char1 Char,Footnote Text Char Char Char,Footnote Char,_Poznámka pod čiarou Char"/>
    <w:basedOn w:val="Predvolenpsmoodseku"/>
    <w:link w:val="Textpoznmkypodiarou"/>
    <w:uiPriority w:val="99"/>
    <w:locked/>
    <w:rsid w:val="0093493D"/>
    <w:rPr>
      <w:rFonts w:ascii="Calibri" w:hAnsi="Calibri"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rsid w:val="0093493D"/>
    <w:rPr>
      <w:rFonts w:cs="Times New Roman"/>
      <w:color w:val="333399"/>
      <w:u w:val="single"/>
    </w:rPr>
  </w:style>
  <w:style w:type="character" w:styleId="Odkaznapoznmkupodiarou">
    <w:name w:val="footnote reference"/>
    <w:aliases w:val="Footnote symbol"/>
    <w:basedOn w:val="Predvolenpsmoodseku"/>
    <w:uiPriority w:val="99"/>
    <w:rsid w:val="0093493D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934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3493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99"/>
    <w:qFormat/>
    <w:rsid w:val="0093493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60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007BD"/>
    <w:rPr>
      <w:rFonts w:cs="Times New Roman"/>
    </w:rPr>
  </w:style>
  <w:style w:type="paragraph" w:styleId="Pta">
    <w:name w:val="footer"/>
    <w:basedOn w:val="Normlny"/>
    <w:link w:val="PtaChar"/>
    <w:uiPriority w:val="99"/>
    <w:rsid w:val="0060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6007BD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rsid w:val="007F1DC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F1DC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F1DC1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F1D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F1DC1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hsr.sk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ur-lex.europa.eu/LexUriServ/LexUriServ.do?uri=OJ:L:2013:347:0320:0469:SK:PDF" TargetMode="External"/><Relationship Id="rId2" Type="http://schemas.openxmlformats.org/officeDocument/2006/relationships/hyperlink" Target="http://eur-lex.europa.eu/LexUriServ/LexUriServ.do?uri=COM:2012:0795:FIN:SK:PDF" TargetMode="External"/><Relationship Id="rId1" Type="http://schemas.openxmlformats.org/officeDocument/2006/relationships/hyperlink" Target="http://ec.europa.eu/enterprise/policies/sme/small-business-act/index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Durdikova Michaela</dc:creator>
  <cp:lastModifiedBy>Durdikova Michaela</cp:lastModifiedBy>
  <cp:revision>2</cp:revision>
  <dcterms:created xsi:type="dcterms:W3CDTF">2014-10-30T11:06:00Z</dcterms:created>
  <dcterms:modified xsi:type="dcterms:W3CDTF">2014-10-30T11:06:00Z</dcterms:modified>
</cp:coreProperties>
</file>