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00" w:after="280"/>
        <w:jc w:val="center"/>
        <w:rPr>
          <w:rFonts w:ascii="Arial Narrow" w:hAnsi="Arial Narrow" w:eastAsia="Arial Narrow" w:cs="Arial Narrow"/>
          <w:color w:val="0070C0"/>
          <w:sz w:val="56"/>
          <w:szCs w:val="56"/>
        </w:rPr>
      </w:pPr>
      <w:r>
        <w:rPr>
          <w:rFonts w:eastAsia="Arial Narrow" w:cs="Arial Narrow" w:ascii="Arial Narrow" w:hAnsi="Arial Narrow"/>
          <w:color w:val="0070C0"/>
          <w:sz w:val="56"/>
          <w:szCs w:val="56"/>
        </w:rPr>
        <w:drawing>
          <wp:anchor behindDoc="0" distT="0" distB="0" distL="114300" distR="114300" simplePos="0" locked="0" layoutInCell="1" allowOverlap="1" relativeHeight="2">
            <wp:simplePos x="0" y="0"/>
            <wp:positionH relativeFrom="margin">
              <wp:posOffset>-31115</wp:posOffset>
            </wp:positionH>
            <wp:positionV relativeFrom="paragraph">
              <wp:posOffset>-578485</wp:posOffset>
            </wp:positionV>
            <wp:extent cx="3825240" cy="1445895"/>
            <wp:effectExtent l="0" t="0" r="0" b="0"/>
            <wp:wrapSquare wrapText="bothSides"/>
            <wp:docPr id="1" name="image2.png" descr="banner_npc_ii_-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anner_npc_ii_-_ba"/>
                    <pic:cNvPicPr>
                      <a:picLocks noChangeAspect="1" noChangeArrowheads="1"/>
                    </pic:cNvPicPr>
                  </pic:nvPicPr>
                  <pic:blipFill>
                    <a:blip r:embed="rId2"/>
                    <a:stretch>
                      <a:fillRect/>
                    </a:stretch>
                  </pic:blipFill>
                  <pic:spPr bwMode="auto">
                    <a:xfrm>
                      <a:off x="0" y="0"/>
                      <a:ext cx="3825240" cy="1445895"/>
                    </a:xfrm>
                    <a:prstGeom prst="rect">
                      <a:avLst/>
                    </a:prstGeom>
                  </pic:spPr>
                </pic:pic>
              </a:graphicData>
            </a:graphic>
          </wp:anchor>
        </w:drawing>
      </w:r>
    </w:p>
    <w:p>
      <w:pPr>
        <w:pStyle w:val="Normal"/>
        <w:spacing w:lineRule="auto" w:line="240" w:before="0" w:after="280"/>
        <w:jc w:val="center"/>
        <w:rPr>
          <w:rFonts w:ascii="Arial Narrow" w:hAnsi="Arial Narrow" w:eastAsia="Arial Narrow" w:cs="Arial Narrow"/>
          <w:color w:val="0070C0"/>
          <w:sz w:val="56"/>
          <w:szCs w:val="56"/>
        </w:rPr>
      </w:pPr>
      <w:r>
        <w:rPr>
          <w:rFonts w:eastAsia="Arial Narrow" w:cs="Arial Narrow" w:ascii="Arial Narrow" w:hAnsi="Arial Narrow"/>
          <w:color w:val="0070C0"/>
          <w:sz w:val="56"/>
          <w:szCs w:val="56"/>
        </w:rPr>
      </w:r>
    </w:p>
    <w:p>
      <w:pPr>
        <w:pStyle w:val="Normal"/>
        <w:spacing w:lineRule="auto" w:line="240" w:before="0" w:after="0"/>
        <w:jc w:val="center"/>
        <w:rPr>
          <w:rFonts w:ascii="Times New Roman" w:hAnsi="Times New Roman" w:eastAsia="Times New Roman" w:cs="Times New Roman"/>
          <w:color w:val="0070C0"/>
          <w:sz w:val="48"/>
          <w:szCs w:val="48"/>
        </w:rPr>
      </w:pPr>
      <w:r>
        <w:rPr>
          <w:rFonts w:eastAsia="Times New Roman" w:cs="Times New Roman" w:ascii="Times New Roman" w:hAnsi="Times New Roman"/>
          <w:color w:val="0070C0"/>
          <w:sz w:val="48"/>
          <w:szCs w:val="48"/>
        </w:rPr>
      </w:r>
    </w:p>
    <w:p>
      <w:pPr>
        <w:pStyle w:val="Normal"/>
        <w:spacing w:lineRule="auto" w:line="240" w:before="0" w:after="0"/>
        <w:jc w:val="center"/>
        <w:rPr>
          <w:rFonts w:ascii="Times New Roman" w:hAnsi="Times New Roman" w:eastAsia="Times New Roman" w:cs="Times New Roman"/>
          <w:b/>
          <w:b/>
          <w:strike/>
          <w:color w:val="2E74B5"/>
          <w:sz w:val="48"/>
          <w:szCs w:val="48"/>
        </w:rPr>
      </w:pPr>
      <w:r>
        <w:rPr>
          <w:rFonts w:eastAsia="Times New Roman" w:cs="Times New Roman" w:ascii="Times New Roman" w:hAnsi="Times New Roman"/>
          <w:color w:val="0070C0"/>
          <w:sz w:val="48"/>
          <w:szCs w:val="48"/>
        </w:rPr>
        <w:t xml:space="preserve">VÝZVA NA PREDKLADANIE ŽIADOSTÍ O POSKYTNUTIE POMOCI V RÁMCI STÁŽOVÉHO PROGRAMU NÁRODNÉHO PROJEKTU NPC V REGIÓNOCH </w:t>
      </w:r>
    </w:p>
    <w:p>
      <w:pPr>
        <w:pStyle w:val="Normal"/>
        <w:spacing w:lineRule="auto" w:line="240" w:before="280" w:after="280"/>
        <w:jc w:val="center"/>
        <w:rPr>
          <w:rFonts w:ascii="Times New Roman" w:hAnsi="Times New Roman" w:eastAsia="Times New Roman" w:cs="Times New Roman"/>
          <w:color w:val="0070C0"/>
          <w:sz w:val="48"/>
          <w:szCs w:val="48"/>
        </w:rPr>
      </w:pPr>
      <w:r>
        <w:rPr>
          <w:rFonts w:eastAsia="Times New Roman" w:cs="Times New Roman" w:ascii="Times New Roman" w:hAnsi="Times New Roman"/>
          <w:color w:val="0070C0"/>
          <w:sz w:val="48"/>
          <w:szCs w:val="48"/>
        </w:rPr>
        <w:t>Medzinárodné odborné podujatia</w:t>
      </w:r>
    </w:p>
    <w:p>
      <w:pPr>
        <w:pStyle w:val="Normal"/>
        <w:spacing w:lineRule="auto" w:line="240" w:before="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Vycestujte za inšpiráciou pre svoje podnikanie na medzinárodné odborné podujatia zamerané na prezentáciu nových podnikateľských trendov. Vyberte si svoju konferenciu, workshop alebo seminár v zahraničí a získajte novú skúsenosť a kontakty, ktoré pomôžu v rozvoji Vášho podnikania. Voľba medzinárodného odborného podujatia je na Vás – využite príležitosť získať vstup na Vašu vysnívanú konferenciu. </w:t>
      </w:r>
    </w:p>
    <w:p>
      <w:pPr>
        <w:pStyle w:val="Normal"/>
        <w:spacing w:lineRule="auto" w:line="240" w:before="0" w:after="28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Výzva je otvorená.</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Slovak Business Agency ako vykonávateľ (ďalej len „</w:t>
      </w:r>
      <w:r>
        <w:rPr>
          <w:rFonts w:eastAsia="Times New Roman" w:cs="Times New Roman" w:ascii="Times New Roman" w:hAnsi="Times New Roman"/>
          <w:b/>
          <w:sz w:val="24"/>
          <w:szCs w:val="24"/>
        </w:rPr>
        <w:t>Vykonávateľ</w:t>
      </w:r>
      <w:r>
        <w:rPr>
          <w:rFonts w:eastAsia="Times New Roman" w:cs="Times New Roman" w:ascii="Times New Roman" w:hAnsi="Times New Roman"/>
          <w:sz w:val="24"/>
          <w:szCs w:val="24"/>
        </w:rPr>
        <w:t>“) Schémy na podporu malého a stredného podnikania v SR (schéma pomoci de minimis) zverejnenej v Obchodnom vestníku 166/2017 dňa 30. 08. 2017, v aktuálnom znení Schémy na podporu malého a stredného podnikania v SR v znení dodatku č. 1 (schéma pomoci de minimis) Schéma DM – 8/2017 zverejnenej v Obchodnom vestníku 124/2018 dňa 28. 06. 2018 (ďalej len „</w:t>
      </w:r>
      <w:r>
        <w:rPr>
          <w:rFonts w:eastAsia="Times New Roman" w:cs="Times New Roman" w:ascii="Times New Roman" w:hAnsi="Times New Roman"/>
          <w:b/>
          <w:bCs/>
          <w:sz w:val="24"/>
          <w:szCs w:val="24"/>
        </w:rPr>
        <w:t>Schéma</w:t>
      </w:r>
      <w:r>
        <w:rPr>
          <w:rFonts w:eastAsia="Times New Roman" w:cs="Times New Roman" w:ascii="Times New Roman" w:hAnsi="Times New Roman"/>
          <w:sz w:val="24"/>
          <w:szCs w:val="24"/>
        </w:rPr>
        <w:t xml:space="preserve">“) vyhlasuje v mene Ministerstva hospodárstva Slovenskej republiky ako poskytovateľa pomoci </w:t>
      </w:r>
      <w:r>
        <w:rPr>
          <w:rFonts w:eastAsia="Times New Roman" w:cs="Times New Roman" w:ascii="Times New Roman" w:hAnsi="Times New Roman"/>
          <w:i/>
          <w:sz w:val="24"/>
          <w:szCs w:val="24"/>
        </w:rPr>
        <w:t>Výzvu na predkladanie žiadostí o poskytnutie pomoci v rámci Stážového programu Národného projektu NPC v regiónoch,</w:t>
      </w:r>
      <w:r>
        <w:rPr>
          <w:rFonts w:eastAsia="Times New Roman" w:cs="Times New Roman" w:ascii="Times New Roman" w:hAnsi="Times New Roman"/>
          <w:sz w:val="24"/>
          <w:szCs w:val="24"/>
        </w:rPr>
        <w:t xml:space="preserve"> poskytovanú v rámci implementácie Národného projektu NPC v regiónoch, Prioritná os 3 OPVaI, kód ITMS2014+:313031I870 (ďalej len „</w:t>
      </w:r>
      <w:r>
        <w:rPr>
          <w:rFonts w:eastAsia="Times New Roman" w:cs="Times New Roman" w:ascii="Times New Roman" w:hAnsi="Times New Roman"/>
          <w:b/>
          <w:sz w:val="24"/>
          <w:szCs w:val="24"/>
        </w:rPr>
        <w:t>Projekt</w:t>
      </w:r>
      <w:r>
        <w:rPr>
          <w:rFonts w:eastAsia="Times New Roman" w:cs="Times New Roman" w:ascii="Times New Roman" w:hAnsi="Times New Roman"/>
          <w:sz w:val="24"/>
          <w:szCs w:val="24"/>
        </w:rPr>
        <w:t>“), v súlade s komponentom 3 písmeno a) Schémy vo forme podpory účasti na medzinárodnom odbornom podujatí (ďalej len „</w:t>
      </w:r>
      <w:r>
        <w:rPr>
          <w:rFonts w:eastAsia="Times New Roman" w:cs="Times New Roman" w:ascii="Times New Roman" w:hAnsi="Times New Roman"/>
          <w:b/>
          <w:sz w:val="24"/>
          <w:szCs w:val="24"/>
        </w:rPr>
        <w:t>Výzva</w:t>
      </w:r>
      <w:r>
        <w:rPr>
          <w:rFonts w:eastAsia="Times New Roman" w:cs="Times New Roman" w:ascii="Times New Roman" w:hAnsi="Times New Roman"/>
          <w:sz w:val="24"/>
          <w:szCs w:val="24"/>
        </w:rPr>
        <w:t>“).</w:t>
      </w:r>
    </w:p>
    <w:p>
      <w:pPr>
        <w:pStyle w:val="Normal"/>
        <w:spacing w:lineRule="auto" w:line="240" w:before="28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 je realizovaný prostredníctvom Operačného programu Výskum a inovácie, a vytvára ucelený systém komplexnej podpory vzniku a rozvoja potenciálnych, a existujúcich malých a stredných podnikov v Slovenskej republike.</w:t>
      </w:r>
    </w:p>
    <w:p>
      <w:pPr>
        <w:pStyle w:val="Normal"/>
        <w:spacing w:lineRule="auto" w:line="240" w:before="0" w:after="28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 rámci tejto Výzvy ponúkame právnickým osobám - podnikateľom a fyzickým osobám - podnikateľom možnosť zúčastniť sa na medzinárodných odborných podujatiach (t. j. na odborných konferenciách, workshopoch, odborných seminároch a pod.) organizovaných v krajinách Európskej únie.</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Do Výzvy je možné sa zapojiť podaním Žiadosti o účasť na medzinárodnom odbornom podujatí vrátane jej príloh (ďalej len „</w:t>
      </w:r>
      <w:r>
        <w:rPr>
          <w:rFonts w:eastAsia="Times New Roman" w:cs="Times New Roman" w:ascii="Times New Roman" w:hAnsi="Times New Roman"/>
          <w:b/>
          <w:sz w:val="24"/>
          <w:szCs w:val="24"/>
        </w:rPr>
        <w:t>Žiadosť</w:t>
      </w:r>
      <w:r>
        <w:rPr>
          <w:rFonts w:eastAsia="Times New Roman" w:cs="Times New Roman" w:ascii="Times New Roman" w:hAnsi="Times New Roman"/>
          <w:sz w:val="24"/>
          <w:szCs w:val="24"/>
        </w:rPr>
        <w:t xml:space="preserve">“), a to podľa podmienok uvedených v tejto Výzve. </w:t>
      </w:r>
    </w:p>
    <w:p>
      <w:pPr>
        <w:pStyle w:val="Normal"/>
        <w:numPr>
          <w:ilvl w:val="0"/>
          <w:numId w:val="1"/>
        </w:numPr>
        <w:pBdr/>
        <w:spacing w:lineRule="auto" w:line="240" w:before="280" w:after="28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Podmienky a kritéria účasti:</w:t>
      </w:r>
    </w:p>
    <w:p>
      <w:pPr>
        <w:pStyle w:val="Normal"/>
        <w:pBdr/>
        <w:spacing w:lineRule="auto" w:line="240" w:before="280" w:after="280"/>
        <w:ind w:left="284"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Účasť na akomkoľvek medzinárodnom odbornom podujatí organizovanom v rámci štátov Európskej únie, ktoré sa konajú v mesiacoch február 2019 až apríl 2019, v rozsahu maximálne 5 dní (Komponent 3 písmeno a) Schémy) je určená pre začínajúcich podnikateľov – registrovaných a overených klientov NPC, ktorí spĺňajú najmä nasledovné podmienky:</w:t>
      </w:r>
    </w:p>
    <w:p>
      <w:pPr>
        <w:pStyle w:val="Normal"/>
        <w:numPr>
          <w:ilvl w:val="0"/>
          <w:numId w:val="7"/>
        </w:numPr>
        <w:pBdr/>
        <w:spacing w:lineRule="auto" w:line="240" w:before="0" w:after="0"/>
        <w:ind w:left="284" w:hanging="284"/>
        <w:jc w:val="both"/>
        <w:rPr>
          <w:color w:val="000000"/>
          <w:sz w:val="24"/>
          <w:szCs w:val="24"/>
        </w:rPr>
      </w:pPr>
      <w:r>
        <w:rPr>
          <w:rFonts w:eastAsia="Times New Roman" w:cs="Times New Roman" w:ascii="Times New Roman" w:hAnsi="Times New Roman"/>
          <w:color w:val="000000"/>
          <w:sz w:val="24"/>
          <w:szCs w:val="24"/>
        </w:rPr>
        <w:t>sú právnickou osobou alebo fyzickou osobou, ktorá je podnikateľom v zmysle ustanovenia § 2 ods. 2 písm. a), b), c)</w:t>
      </w:r>
      <w:r>
        <w:rPr>
          <w:rStyle w:val="Ukotveniepoznmkypodiarou"/>
          <w:rFonts w:eastAsia="Times New Roman" w:cs="Times New Roman" w:ascii="Times New Roman" w:hAnsi="Times New Roman"/>
          <w:color w:val="000000"/>
          <w:sz w:val="24"/>
          <w:szCs w:val="24"/>
        </w:rPr>
        <w:footnoteReference w:id="2"/>
      </w:r>
      <w:r>
        <w:rPr>
          <w:rFonts w:eastAsia="Times New Roman" w:cs="Times New Roman" w:ascii="Times New Roman" w:hAnsi="Times New Roman"/>
          <w:color w:val="000000"/>
          <w:sz w:val="24"/>
          <w:szCs w:val="24"/>
        </w:rPr>
        <w:t xml:space="preserve"> zákona č. 513/1991 Zb. Obchodný zákonník v znení neskorších predpisov, založenou a existujúcou podľa práva Slovenskej republiky, od vzniku ktorej v čase podania Žiadosti </w:t>
      </w:r>
      <w:r>
        <w:rPr>
          <w:rFonts w:eastAsia="Times New Roman" w:cs="Times New Roman" w:ascii="Times New Roman" w:hAnsi="Times New Roman"/>
          <w:b/>
          <w:color w:val="000000"/>
          <w:sz w:val="24"/>
          <w:szCs w:val="24"/>
        </w:rPr>
        <w:t>neuplynuli viac ako 3 roky</w:t>
      </w:r>
      <w:r>
        <w:rPr>
          <w:rFonts w:eastAsia="Times New Roman" w:cs="Times New Roman" w:ascii="Times New Roman" w:hAnsi="Times New Roman"/>
          <w:color w:val="000000"/>
          <w:sz w:val="24"/>
          <w:szCs w:val="24"/>
        </w:rPr>
        <w:t xml:space="preserve"> od registrácie v Obchodnom registri SR, Živnostenskom registri SR alebo inom registri oprávňujúcom na podnikanie;</w:t>
      </w:r>
    </w:p>
    <w:p>
      <w:pPr>
        <w:pStyle w:val="Normal"/>
        <w:numPr>
          <w:ilvl w:val="0"/>
          <w:numId w:val="7"/>
        </w:numPr>
        <w:pBdr/>
        <w:spacing w:lineRule="auto" w:line="240" w:before="0" w:after="0"/>
        <w:ind w:left="284" w:hanging="284"/>
        <w:jc w:val="both"/>
        <w:rPr>
          <w:color w:val="000000"/>
          <w:sz w:val="24"/>
          <w:szCs w:val="24"/>
        </w:rPr>
      </w:pPr>
      <w:r>
        <w:rPr>
          <w:rFonts w:eastAsia="Times New Roman" w:cs="Times New Roman" w:ascii="Times New Roman" w:hAnsi="Times New Roman"/>
          <w:color w:val="000000"/>
          <w:sz w:val="24"/>
          <w:szCs w:val="24"/>
        </w:rPr>
        <w:t xml:space="preserve">spĺňajú </w:t>
      </w:r>
      <w:r>
        <w:rPr>
          <w:rFonts w:eastAsia="Times New Roman" w:cs="Times New Roman" w:ascii="Times New Roman" w:hAnsi="Times New Roman"/>
          <w:color w:val="000000"/>
        </w:rPr>
        <w:t>d</w:t>
      </w:r>
      <w:r>
        <w:rPr>
          <w:rFonts w:eastAsia="Times New Roman" w:cs="Times New Roman" w:ascii="Times New Roman" w:hAnsi="Times New Roman"/>
          <w:color w:val="000000"/>
          <w:sz w:val="24"/>
          <w:szCs w:val="24"/>
        </w:rPr>
        <w:t>efiníci</w:t>
      </w:r>
      <w:r>
        <w:rPr>
          <w:rFonts w:eastAsia="Times New Roman" w:cs="Times New Roman" w:ascii="Times New Roman" w:hAnsi="Times New Roman"/>
          <w:sz w:val="24"/>
          <w:szCs w:val="24"/>
        </w:rPr>
        <w:t>u</w:t>
      </w:r>
      <w:r>
        <w:rPr>
          <w:rFonts w:eastAsia="Times New Roman" w:cs="Times New Roman" w:ascii="Times New Roman" w:hAnsi="Times New Roman"/>
          <w:color w:val="000000"/>
          <w:sz w:val="24"/>
          <w:szCs w:val="24"/>
        </w:rPr>
        <w:t xml:space="preserve"> mikro podniku, malého a stredného podniku (ďalej len „</w:t>
      </w:r>
      <w:r>
        <w:rPr>
          <w:rFonts w:eastAsia="Times New Roman" w:cs="Times New Roman" w:ascii="Times New Roman" w:hAnsi="Times New Roman"/>
          <w:b/>
          <w:color w:val="000000"/>
          <w:sz w:val="24"/>
          <w:szCs w:val="24"/>
        </w:rPr>
        <w:t>MSP</w:t>
      </w:r>
      <w:r>
        <w:rPr>
          <w:rFonts w:eastAsia="Times New Roman" w:cs="Times New Roman" w:ascii="Times New Roman" w:hAnsi="Times New Roman"/>
          <w:color w:val="000000"/>
          <w:sz w:val="24"/>
          <w:szCs w:val="24"/>
        </w:rPr>
        <w:t>“)</w:t>
      </w:r>
      <w:r>
        <w:rPr>
          <w:rStyle w:val="Ukotveniepoznmkypodiarou"/>
          <w:rFonts w:eastAsia="Times New Roman" w:cs="Times New Roman" w:ascii="Times New Roman" w:hAnsi="Times New Roman"/>
          <w:color w:val="000000"/>
          <w:sz w:val="24"/>
          <w:szCs w:val="24"/>
        </w:rPr>
        <w:footnoteReference w:id="3"/>
      </w:r>
      <w:r>
        <w:rPr>
          <w:rFonts w:eastAsia="Times New Roman" w:cs="Times New Roman" w:ascii="Times New Roman" w:hAnsi="Times New Roman"/>
          <w:color w:val="000000"/>
          <w:sz w:val="24"/>
          <w:szCs w:val="24"/>
        </w:rPr>
        <w:t>;</w:t>
      </w:r>
    </w:p>
    <w:p>
      <w:pPr>
        <w:pStyle w:val="Normal"/>
        <w:numPr>
          <w:ilvl w:val="0"/>
          <w:numId w:val="7"/>
        </w:numPr>
        <w:pBdr/>
        <w:spacing w:lineRule="auto" w:line="240" w:before="0" w:after="0"/>
        <w:ind w:left="284" w:hanging="284"/>
        <w:jc w:val="both"/>
        <w:rPr>
          <w:color w:val="000000"/>
          <w:sz w:val="24"/>
          <w:szCs w:val="24"/>
        </w:rPr>
      </w:pPr>
      <w:r>
        <w:rPr>
          <w:rFonts w:eastAsia="Times New Roman" w:cs="Times New Roman" w:ascii="Times New Roman" w:hAnsi="Times New Roman"/>
          <w:color w:val="000000"/>
          <w:sz w:val="24"/>
          <w:szCs w:val="24"/>
        </w:rPr>
        <w:t>sú podnikom</w:t>
      </w:r>
      <w:r>
        <w:rPr>
          <w:color w:val="000000"/>
        </w:rPr>
        <w:t xml:space="preserve"> </w:t>
      </w:r>
      <w:r>
        <w:rPr>
          <w:rFonts w:eastAsia="Times New Roman" w:cs="Times New Roman" w:ascii="Times New Roman" w:hAnsi="Times New Roman"/>
          <w:color w:val="000000"/>
          <w:sz w:val="24"/>
          <w:szCs w:val="24"/>
        </w:rPr>
        <w:t>podľa článku 107 ods. 1 Zmluvy o fungovaní Európskej únie, pričom podnikom v zmysle uvedeného je každý subjekt vykonávajúci hospodársku činnosť bez ohľadu na svoje právne postavenie a spôsob financovania;</w:t>
      </w:r>
    </w:p>
    <w:p>
      <w:pPr>
        <w:pStyle w:val="Normal"/>
        <w:numPr>
          <w:ilvl w:val="0"/>
          <w:numId w:val="7"/>
        </w:numPr>
        <w:pBdr/>
        <w:spacing w:lineRule="auto" w:line="240" w:before="0" w:after="0"/>
        <w:ind w:left="284" w:hanging="284"/>
        <w:jc w:val="both"/>
        <w:rPr>
          <w:color w:val="000000"/>
          <w:sz w:val="24"/>
          <w:szCs w:val="24"/>
        </w:rPr>
      </w:pPr>
      <w:r>
        <w:rPr>
          <w:rFonts w:eastAsia="Times New Roman" w:cs="Times New Roman" w:ascii="Times New Roman" w:hAnsi="Times New Roman"/>
          <w:color w:val="000000"/>
          <w:sz w:val="24"/>
          <w:szCs w:val="24"/>
        </w:rPr>
        <w:t>majú sídlo/miesto podnikania v ktoromkoľvek samosprávnom kraji Slovenskej republiky s výnimkou Bratislavského kraja;</w:t>
      </w:r>
    </w:p>
    <w:p>
      <w:pPr>
        <w:pStyle w:val="Normal"/>
        <w:numPr>
          <w:ilvl w:val="0"/>
          <w:numId w:val="8"/>
        </w:numPr>
        <w:pBdr/>
        <w:spacing w:lineRule="auto" w:line="240" w:before="0" w:after="0"/>
        <w:ind w:left="284" w:hanging="284"/>
        <w:jc w:val="both"/>
        <w:rPr>
          <w:color w:val="000000"/>
          <w:sz w:val="24"/>
          <w:szCs w:val="24"/>
        </w:rPr>
      </w:pPr>
      <w:r>
        <w:rPr>
          <w:rFonts w:eastAsia="Times New Roman" w:cs="Times New Roman" w:ascii="Times New Roman" w:hAnsi="Times New Roman"/>
          <w:color w:val="000000"/>
          <w:sz w:val="24"/>
          <w:szCs w:val="24"/>
        </w:rPr>
        <w:t>spĺňajú uvedenú podmienku: „</w:t>
      </w:r>
      <w:r>
        <w:rPr>
          <w:rFonts w:eastAsia="Times New Roman" w:cs="Times New Roman" w:ascii="Times New Roman" w:hAnsi="Times New Roman"/>
          <w:i/>
          <w:color w:val="000000"/>
          <w:sz w:val="24"/>
          <w:szCs w:val="24"/>
        </w:rPr>
        <w:t>Celková výška pomoci de minimis jedinému podniku</w:t>
      </w:r>
      <w:r>
        <w:rPr>
          <w:rStyle w:val="Ukotveniepoznmkypodiarou"/>
          <w:rFonts w:eastAsia="Times New Roman" w:cs="Times New Roman" w:ascii="Times New Roman" w:hAnsi="Times New Roman"/>
          <w:i/>
          <w:color w:val="000000"/>
          <w:sz w:val="24"/>
          <w:szCs w:val="24"/>
        </w:rPr>
        <w:footnoteReference w:id="4"/>
      </w:r>
      <w:r>
        <w:rPr>
          <w:rFonts w:eastAsia="Times New Roman" w:cs="Times New Roman" w:ascii="Times New Roman" w:hAnsi="Times New Roman"/>
          <w:i/>
          <w:color w:val="000000"/>
          <w:sz w:val="24"/>
          <w:szCs w:val="24"/>
        </w:rPr>
        <w:t xml:space="preserve"> nepresahuje 200 000 EUR v priebehu obdobia 3 fiškálnych rokov a to aj od iných poskytovateľov, alebo v rámci iných schém pomoci de minimis. Celková výška pomoci prijímateľovi vykonávajúcemu cestnú nákladnú dopravu v prenájme alebo za úhradu nesmie presiahnuť 100 000 EUR, pričom táto pomoc sa nesmie použiť na nákup vozidiel cestnej nákladnej dopravy.</w:t>
      </w:r>
      <w:r>
        <w:rPr>
          <w:rFonts w:eastAsia="Times New Roman" w:cs="Times New Roman" w:ascii="Times New Roman" w:hAnsi="Times New Roman"/>
          <w:color w:val="000000"/>
          <w:sz w:val="24"/>
          <w:szCs w:val="24"/>
        </w:rPr>
        <w:t>“ (Článok K, bod 3. Schémy; Príloha č. 3 Schémy - Prehľad prijatej pomoci de minimis za posledné 3 roky)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(ďalej len „</w:t>
      </w:r>
      <w:r>
        <w:rPr>
          <w:rFonts w:eastAsia="Times New Roman" w:cs="Times New Roman" w:ascii="Times New Roman" w:hAnsi="Times New Roman"/>
          <w:b/>
          <w:sz w:val="24"/>
          <w:szCs w:val="24"/>
        </w:rPr>
        <w:t>Žiadateľ</w:t>
      </w:r>
      <w:r>
        <w:rPr>
          <w:rFonts w:eastAsia="Times New Roman" w:cs="Times New Roman" w:ascii="Times New Roman" w:hAnsi="Times New Roman"/>
          <w:sz w:val="24"/>
          <w:szCs w:val="24"/>
        </w:rPr>
        <w: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pBdr/>
        <w:spacing w:lineRule="auto" w:line="240" w:before="280" w:after="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Účasť na medzinárodnom odbornom podujatí zahŕňa:</w:t>
      </w:r>
    </w:p>
    <w:p>
      <w:pPr>
        <w:pStyle w:val="Normal"/>
        <w:pBdr/>
        <w:spacing w:lineRule="auto" w:line="240" w:before="0" w:after="0"/>
        <w:ind w:left="284" w:hanging="72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numPr>
          <w:ilvl w:val="0"/>
          <w:numId w:val="5"/>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zabezpečenie vstupu na medzinárodné odborné podujatie, ktoré sa koná v niektorom z členských štátov Európskej únie, v trvaní maximálne 5 dní (podujatie s dĺžkou presahujúcou 5 dní nebude akceptované ani v prípade, ak sa Žiadateľ neplánuje zúčastniť celej dĺžky medzinárodného odborného podujatia);</w:t>
      </w:r>
    </w:p>
    <w:p>
      <w:pPr>
        <w:pStyle w:val="Normal"/>
        <w:numPr>
          <w:ilvl w:val="0"/>
          <w:numId w:val="5"/>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zabezpečenie ubytovania počas trvania medzinárodného odborného podujatia a;</w:t>
      </w:r>
    </w:p>
    <w:p>
      <w:pPr>
        <w:pStyle w:val="Normal"/>
        <w:numPr>
          <w:ilvl w:val="0"/>
          <w:numId w:val="5"/>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zabezpečenie letenky do miesta a z miesta konania medzinárodného odborného podujatia.</w:t>
      </w:r>
    </w:p>
    <w:p>
      <w:pPr>
        <w:pStyle w:val="Normal"/>
        <w:spacing w:lineRule="auto" w:line="240" w:before="28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Uvedený rozsah služieb je určený pre </w:t>
      </w:r>
      <w:r>
        <w:rPr>
          <w:rFonts w:eastAsia="Times New Roman" w:cs="Times New Roman" w:ascii="Times New Roman" w:hAnsi="Times New Roman"/>
          <w:b/>
          <w:sz w:val="24"/>
          <w:szCs w:val="24"/>
        </w:rPr>
        <w:t>maximálne 2 osoby</w:t>
      </w:r>
      <w:r>
        <w:rPr>
          <w:rFonts w:eastAsia="Times New Roman" w:cs="Times New Roman" w:ascii="Times New Roman" w:hAnsi="Times New Roman"/>
          <w:sz w:val="24"/>
          <w:szCs w:val="24"/>
        </w:rPr>
        <w:t>, ktoré reprezentujú a zastupujú Žiadateľa</w:t>
      </w:r>
      <w:r>
        <w:rPr>
          <w:rStyle w:val="Ukotveniepoznmkypodiarou"/>
          <w:rFonts w:eastAsia="Times New Roman" w:cs="Times New Roman" w:ascii="Times New Roman" w:hAnsi="Times New Roman"/>
          <w:sz w:val="24"/>
          <w:szCs w:val="24"/>
        </w:rPr>
        <w:footnoteReference w:id="5"/>
      </w:r>
      <w:r>
        <w:rPr>
          <w:rFonts w:eastAsia="Times New Roman" w:cs="Times New Roman" w:ascii="Times New Roman" w:hAnsi="Times New Roman"/>
          <w:sz w:val="24"/>
          <w:szCs w:val="24"/>
        </w:rPr>
        <w:t>.</w:t>
      </w:r>
    </w:p>
    <w:p>
      <w:pPr>
        <w:pStyle w:val="Normal"/>
        <w:spacing w:lineRule="auto" w:line="240" w:before="0" w:after="280"/>
        <w:jc w:val="both"/>
        <w:rPr/>
      </w:pPr>
      <w:r>
        <w:rPr>
          <w:rFonts w:eastAsia="Times New Roman" w:cs="Times New Roman" w:ascii="Times New Roman" w:hAnsi="Times New Roman"/>
          <w:sz w:val="24"/>
          <w:szCs w:val="24"/>
        </w:rPr>
        <w:t>Viac informácií o službách poskytovaných v rámci účasti na medzinárodných odborných podujatiach nájdete v </w:t>
      </w:r>
      <w:hyperlink r:id="rId3">
        <w:r>
          <w:rPr>
            <w:rStyle w:val="Internetovodkaz"/>
            <w:rFonts w:cs="Times New Roman" w:ascii="Times New Roman" w:hAnsi="Times New Roman"/>
            <w:b/>
            <w:bCs/>
            <w:sz w:val="24"/>
            <w:szCs w:val="24"/>
          </w:rPr>
          <w:t>implementačnom manuáli</w:t>
        </w:r>
      </w:hyperlink>
      <w:r>
        <w:rPr>
          <w:rFonts w:eastAsia="Times New Roman" w:cs="Times New Roman" w:ascii="Times New Roman" w:hAnsi="Times New Roman"/>
          <w:sz w:val="24"/>
          <w:szCs w:val="24"/>
        </w:rPr>
        <w:t xml:space="preserve"> Stážového programu na webovej stránke Vykonávateľa.</w:t>
      </w:r>
    </w:p>
    <w:p>
      <w:pPr>
        <w:pStyle w:val="Normal"/>
        <w:numPr>
          <w:ilvl w:val="0"/>
          <w:numId w:val="1"/>
        </w:numPr>
        <w:pBdr/>
        <w:spacing w:lineRule="auto" w:line="240" w:before="0" w:after="28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Žiadosť a povinné prílohy pre Žiadateľov o účasť na medzinárodnom odbornom podujatí:</w:t>
      </w:r>
    </w:p>
    <w:p>
      <w:pPr>
        <w:pStyle w:val="Normal"/>
        <w:pBdr/>
        <w:spacing w:lineRule="auto" w:line="240" w:before="0" w:after="280"/>
        <w:ind w:left="284"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 prihlásenie sa na zvolené medzinárodné odborné podujatie je potrebné vyplniť </w:t>
      </w:r>
      <w:r>
        <w:rPr>
          <w:rFonts w:eastAsia="Times New Roman" w:cs="Times New Roman" w:ascii="Times New Roman" w:hAnsi="Times New Roman"/>
          <w:b/>
          <w:sz w:val="24"/>
          <w:szCs w:val="24"/>
        </w:rPr>
        <w:t xml:space="preserve">Žiadosť </w:t>
      </w:r>
      <w:r>
        <w:rPr>
          <w:rFonts w:eastAsia="Times New Roman" w:cs="Times New Roman" w:ascii="Times New Roman" w:hAnsi="Times New Roman"/>
          <w:sz w:val="24"/>
          <w:szCs w:val="24"/>
        </w:rPr>
        <w:t>a následne zaslať všetky povinné prílohy:</w:t>
      </w:r>
    </w:p>
    <w:p>
      <w:pPr>
        <w:pStyle w:val="Normal"/>
        <w:numPr>
          <w:ilvl w:val="0"/>
          <w:numId w:val="2"/>
        </w:numPr>
        <w:pBdr/>
        <w:spacing w:lineRule="auto" w:line="240" w:before="0" w:after="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Vyplnený formulár Profil MSP do 3 rokov;</w:t>
      </w:r>
    </w:p>
    <w:p>
      <w:pPr>
        <w:pStyle w:val="Normal"/>
        <w:numPr>
          <w:ilvl w:val="0"/>
          <w:numId w:val="2"/>
        </w:numPr>
        <w:pBdr/>
        <w:spacing w:lineRule="auto" w:line="240" w:before="0" w:after="28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Životopis štatutárneho orgánu Žiadateľa, prípadne kľúčových osôb, ktoré sa zúčastnia medzinárodného odborného podujatia.</w:t>
      </w:r>
    </w:p>
    <w:p>
      <w:pPr>
        <w:pStyle w:val="Normal"/>
        <w:pBdr/>
        <w:spacing w:lineRule="auto" w:line="240" w:before="0" w:after="280"/>
        <w:ind w:left="284"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b/>
          <w:b/>
          <w:color w:val="000000"/>
          <w:sz w:val="24"/>
          <w:szCs w:val="24"/>
          <w:u w:val="single"/>
        </w:rPr>
      </w:pPr>
      <w:r>
        <w:rPr>
          <w:rFonts w:eastAsia="Times New Roman" w:cs="Times New Roman" w:ascii="Times New Roman" w:hAnsi="Times New Roman"/>
          <w:b/>
          <w:color w:val="000000"/>
          <w:sz w:val="24"/>
          <w:szCs w:val="24"/>
          <w:u w:val="single"/>
        </w:rPr>
        <w:t>Žiadosť je záväzná, preto ju prosím vyplňte dôsledne a úplne. Všetky vyššie uvedené prílohy sú povinné. Nedoručenie ktorejkoľvek z príloh sa klasifikuje ako doručenie neúplnej Žiadosti. V prípade dožiadania doplňujúcich informácií zo strany Vykonávateľa, je Žiadateľ povinný tieto prílohy doručiť. Kompletná Žiadosť sa spolu s ostatnými podkladmi predkladá výberovej komisii.</w:t>
      </w:r>
    </w:p>
    <w:p>
      <w:pPr>
        <w:pStyle w:val="Normal"/>
        <w:pBdr/>
        <w:spacing w:lineRule="auto" w:line="240" w:before="0" w:after="0"/>
        <w:jc w:val="both"/>
        <w:rPr>
          <w:rFonts w:ascii="Times New Roman" w:hAnsi="Times New Roman" w:eastAsia="Times New Roman" w:cs="Times New Roman"/>
          <w:b/>
          <w:b/>
          <w:color w:val="000000"/>
          <w:sz w:val="24"/>
          <w:szCs w:val="24"/>
          <w:u w:val="single"/>
        </w:rPr>
      </w:pPr>
      <w:r>
        <w:rPr>
          <w:rFonts w:eastAsia="Times New Roman" w:cs="Times New Roman" w:ascii="Times New Roman" w:hAnsi="Times New Roman"/>
          <w:b/>
          <w:color w:val="000000"/>
          <w:sz w:val="24"/>
          <w:szCs w:val="24"/>
          <w:u w:val="single"/>
        </w:rPr>
      </w:r>
    </w:p>
    <w:p>
      <w:pPr>
        <w:pStyle w:val="Normal"/>
        <w:numPr>
          <w:ilvl w:val="0"/>
          <w:numId w:val="1"/>
        </w:numPr>
        <w:pBdr/>
        <w:spacing w:lineRule="auto" w:line="240" w:before="280" w:after="28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Jednotlivé kroky a kritériá nevyhnutné pre získanie podpory:</w:t>
      </w:r>
    </w:p>
    <w:p>
      <w:pPr>
        <w:pStyle w:val="Normal"/>
        <w:pBdr/>
        <w:spacing w:lineRule="auto" w:line="240" w:before="280" w:after="280"/>
        <w:ind w:left="284"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280"/>
        <w:jc w:val="both"/>
        <w:rPr/>
      </w:pPr>
      <w:r>
        <w:rPr>
          <w:rFonts w:eastAsia="Times New Roman" w:cs="Times New Roman" w:ascii="Times New Roman" w:hAnsi="Times New Roman"/>
          <w:sz w:val="24"/>
          <w:szCs w:val="24"/>
        </w:rPr>
        <w:t>Prihlásiť sa na medzinárodné odborné podujatie v rámci Stážového programu NPC v regiónoch je možné</w:t>
      </w:r>
      <w:r>
        <w:rPr>
          <w:rFonts w:eastAsia="Times New Roman" w:cs="Times New Roman" w:ascii="Times New Roman" w:hAnsi="Times New Roman"/>
          <w:color w:val="000000"/>
          <w:sz w:val="24"/>
          <w:szCs w:val="24"/>
        </w:rPr>
        <w:t xml:space="preserve"> elektronicky, vypln</w:t>
      </w:r>
      <w:r>
        <w:rPr>
          <w:rFonts w:eastAsia="Times New Roman" w:cs="Times New Roman" w:ascii="Times New Roman" w:hAnsi="Times New Roman"/>
          <w:sz w:val="24"/>
          <w:szCs w:val="24"/>
        </w:rPr>
        <w:t>ením</w:t>
      </w:r>
      <w:r>
        <w:rPr>
          <w:rFonts w:eastAsia="Times New Roman" w:cs="Times New Roman" w:ascii="Times New Roman" w:hAnsi="Times New Roman"/>
          <w:color w:val="000000"/>
          <w:sz w:val="24"/>
          <w:szCs w:val="24"/>
        </w:rPr>
        <w:t xml:space="preserve"> a zasla</w:t>
      </w:r>
      <w:r>
        <w:rPr>
          <w:rFonts w:eastAsia="Times New Roman" w:cs="Times New Roman" w:ascii="Times New Roman" w:hAnsi="Times New Roman"/>
          <w:sz w:val="24"/>
          <w:szCs w:val="24"/>
        </w:rPr>
        <w:t>ním</w:t>
      </w:r>
      <w:r>
        <w:rPr>
          <w:rFonts w:eastAsia="Times New Roman" w:cs="Times New Roman" w:ascii="Times New Roman" w:hAnsi="Times New Roman"/>
          <w:color w:val="000000"/>
          <w:sz w:val="24"/>
          <w:szCs w:val="24"/>
        </w:rPr>
        <w:t xml:space="preserve"> Žiados</w:t>
      </w:r>
      <w:r>
        <w:rPr>
          <w:rFonts w:eastAsia="Times New Roman" w:cs="Times New Roman" w:ascii="Times New Roman" w:hAnsi="Times New Roman"/>
          <w:sz w:val="24"/>
          <w:szCs w:val="24"/>
        </w:rPr>
        <w:t>ti</w:t>
      </w:r>
      <w:r>
        <w:rPr>
          <w:rFonts w:eastAsia="Times New Roman" w:cs="Times New Roman" w:ascii="Times New Roman" w:hAnsi="Times New Roman"/>
          <w:color w:val="000000"/>
          <w:sz w:val="24"/>
          <w:szCs w:val="24"/>
        </w:rPr>
        <w:t xml:space="preserve"> prostredníctvom online formulára, ktorý nájdete </w:t>
      </w:r>
      <w:hyperlink r:id="rId4">
        <w:r>
          <w:rPr>
            <w:rStyle w:val="Internetovodkaz"/>
            <w:rFonts w:eastAsia="Times New Roman" w:cs="Times New Roman" w:ascii="Times New Roman" w:hAnsi="Times New Roman"/>
            <w:b/>
            <w:sz w:val="24"/>
            <w:szCs w:val="24"/>
          </w:rPr>
          <w:t>TU</w:t>
        </w:r>
      </w:hyperlink>
      <w:r>
        <w:rPr>
          <w:rFonts w:eastAsia="Times New Roman" w:cs="Times New Roman" w:ascii="Times New Roman" w:hAnsi="Times New Roman"/>
          <w:color w:val="000000"/>
          <w:sz w:val="24"/>
          <w:szCs w:val="24"/>
        </w:rPr>
        <w:t>, a následne vypln</w:t>
      </w:r>
      <w:r>
        <w:rPr>
          <w:rFonts w:eastAsia="Times New Roman" w:cs="Times New Roman" w:ascii="Times New Roman" w:hAnsi="Times New Roman"/>
          <w:sz w:val="24"/>
          <w:szCs w:val="24"/>
        </w:rPr>
        <w:t>ením</w:t>
      </w:r>
      <w:r>
        <w:rPr>
          <w:rFonts w:eastAsia="Times New Roman" w:cs="Times New Roman" w:ascii="Times New Roman" w:hAnsi="Times New Roman"/>
          <w:color w:val="000000"/>
          <w:sz w:val="24"/>
          <w:szCs w:val="24"/>
        </w:rPr>
        <w:t xml:space="preserve">  a zasla</w:t>
      </w:r>
      <w:r>
        <w:rPr>
          <w:rFonts w:eastAsia="Times New Roman" w:cs="Times New Roman" w:ascii="Times New Roman" w:hAnsi="Times New Roman"/>
          <w:sz w:val="24"/>
          <w:szCs w:val="24"/>
        </w:rPr>
        <w:t>ním</w:t>
      </w:r>
      <w:r>
        <w:rPr>
          <w:rFonts w:eastAsia="Times New Roman" w:cs="Times New Roman" w:ascii="Times New Roman" w:hAnsi="Times New Roman"/>
          <w:color w:val="000000"/>
          <w:sz w:val="24"/>
          <w:szCs w:val="24"/>
        </w:rPr>
        <w:t xml:space="preserve">  všetk</w:t>
      </w:r>
      <w:r>
        <w:rPr>
          <w:rFonts w:eastAsia="Times New Roman" w:cs="Times New Roman" w:ascii="Times New Roman" w:hAnsi="Times New Roman"/>
          <w:sz w:val="24"/>
          <w:szCs w:val="24"/>
        </w:rPr>
        <w:t>ých</w:t>
      </w:r>
      <w:r>
        <w:rPr>
          <w:rFonts w:eastAsia="Times New Roman" w:cs="Times New Roman" w:ascii="Times New Roman" w:hAnsi="Times New Roman"/>
          <w:color w:val="000000"/>
          <w:sz w:val="24"/>
          <w:szCs w:val="24"/>
        </w:rPr>
        <w:t xml:space="preserve"> povinn</w:t>
      </w:r>
      <w:r>
        <w:rPr>
          <w:rFonts w:eastAsia="Times New Roman" w:cs="Times New Roman" w:ascii="Times New Roman" w:hAnsi="Times New Roman"/>
          <w:sz w:val="24"/>
          <w:szCs w:val="24"/>
        </w:rPr>
        <w:t>ých</w:t>
      </w:r>
      <w:r>
        <w:rPr>
          <w:rFonts w:eastAsia="Times New Roman" w:cs="Times New Roman" w:ascii="Times New Roman" w:hAnsi="Times New Roman"/>
          <w:color w:val="000000"/>
          <w:sz w:val="24"/>
          <w:szCs w:val="24"/>
        </w:rPr>
        <w:t xml:space="preserve"> príloh na e-mailovú adresu príslušného regionálneho centra podľa sídla/miesta podnikania Žiadateľa. </w:t>
      </w:r>
    </w:p>
    <w:p>
      <w:pPr>
        <w:pStyle w:val="Normal"/>
        <w:spacing w:lineRule="auto" w:line="240" w:before="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 preverení splnenia všetkých podmienok budete vyzvaní k podpisu Žiadosti. Právo podpísať túto Žiadosť má osoba oprávnená konať v mene Žiadateľa.</w:t>
      </w:r>
    </w:p>
    <w:p>
      <w:pPr>
        <w:pStyle w:val="Normal"/>
        <w:numPr>
          <w:ilvl w:val="0"/>
          <w:numId w:val="3"/>
        </w:numPr>
        <w:spacing w:lineRule="auto" w:line="240" w:before="280" w:after="280"/>
        <w:ind w:left="284" w:hanging="284"/>
        <w:jc w:val="both"/>
        <w:rPr/>
      </w:pPr>
      <w:r>
        <w:rPr>
          <w:rFonts w:eastAsia="Times New Roman" w:cs="Times New Roman" w:ascii="Times New Roman" w:hAnsi="Times New Roman"/>
          <w:sz w:val="24"/>
          <w:szCs w:val="24"/>
        </w:rPr>
        <w:t>Podanie Žiadosti pre túto Výzvu je možné pre medzinárodné odborné podujatia konané v niektorom z členských štátov Európskej únie v mesiacoch február 2019 až apríl 2019.</w:t>
      </w:r>
    </w:p>
    <w:p>
      <w:pPr>
        <w:pStyle w:val="Normal"/>
        <w:numPr>
          <w:ilvl w:val="0"/>
          <w:numId w:val="3"/>
        </w:numPr>
        <w:spacing w:lineRule="auto" w:line="240" w:before="0" w:after="0"/>
        <w:ind w:left="284" w:hanging="284"/>
        <w:jc w:val="both"/>
        <w:rPr/>
      </w:pPr>
      <w:r>
        <w:rPr>
          <w:rFonts w:eastAsia="Times New Roman" w:cs="Times New Roman" w:ascii="Times New Roman" w:hAnsi="Times New Roman"/>
          <w:sz w:val="24"/>
          <w:szCs w:val="24"/>
        </w:rPr>
        <w:t>Ak sa Žiadateľ chce – v rámci jednej Výzvy prihlásiť na viaceré, sebou zvolené medzinárodné odborné podujatia, je potrebné pre účasť na každom medzinárodnom odbornom podujatí vyplniť osobitnú Žiadosť. Túto možnosť môže Žiadateľ počas jednej výzvy využiť maximálne trikrát.</w:t>
      </w:r>
    </w:p>
    <w:p>
      <w:pPr>
        <w:pStyle w:val="Normal"/>
        <w:spacing w:lineRule="auto" w:line="240" w:before="0" w:after="0"/>
        <w:ind w:left="284" w:hanging="0"/>
        <w:jc w:val="both"/>
        <w:rPr/>
      </w:pPr>
      <w:bookmarkStart w:id="0" w:name="_GoBack"/>
      <w:bookmarkStart w:id="1" w:name="_GoBack"/>
      <w:bookmarkEnd w:id="1"/>
      <w:r>
        <w:rPr/>
      </w:r>
    </w:p>
    <w:p>
      <w:pPr>
        <w:pStyle w:val="Normal"/>
        <w:numPr>
          <w:ilvl w:val="0"/>
          <w:numId w:val="3"/>
        </w:numPr>
        <w:spacing w:lineRule="auto" w:line="240" w:before="0" w:after="0"/>
        <w:ind w:left="284" w:hanging="284"/>
        <w:jc w:val="both"/>
        <w:rPr/>
      </w:pPr>
      <w:r>
        <w:rPr>
          <w:rFonts w:eastAsia="Times New Roman" w:cs="Times New Roman" w:ascii="Times New Roman" w:hAnsi="Times New Roman"/>
          <w:sz w:val="24"/>
          <w:szCs w:val="24"/>
        </w:rPr>
        <w:t>Žiadosť bude po ukončení prihlasovania vyhodnotená v dvoch kolách, pričom 1. kolo pozostáva z overenia dodržania formálnych podmienok a zaslaných dokumentov a 2. kolo prebieha po splnení podmienok 1. kola prostredníctvom zasadnutia výberovej komisie, ktorá posudzuje predložené Žiadosti.</w:t>
      </w:r>
    </w:p>
    <w:p>
      <w:pPr>
        <w:pStyle w:val="Normal"/>
        <w:numPr>
          <w:ilvl w:val="0"/>
          <w:numId w:val="3"/>
        </w:numPr>
        <w:spacing w:lineRule="auto" w:line="240" w:before="280" w:after="0"/>
        <w:ind w:left="284" w:hanging="28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Stanovisko výberovej komisie o schválení/neschválení Žiadosti bude Žiadateľovi zaslané do 7 pracovných dní od oznámenia výberovej komisie o výsledku 2. kola, </w:t>
      </w:r>
      <w:r>
        <w:rPr>
          <w:rFonts w:eastAsia="Times New Roman" w:cs="Times New Roman" w:ascii="Times New Roman" w:hAnsi="Times New Roman"/>
          <w:b/>
          <w:sz w:val="24"/>
          <w:szCs w:val="24"/>
        </w:rPr>
        <w:t>pričom Žiadateľ berie na vedomie, že na poskytnutie pomoci nie je právny nárok</w:t>
      </w:r>
      <w:r>
        <w:rPr>
          <w:rFonts w:eastAsia="Times New Roman" w:cs="Times New Roman" w:ascii="Times New Roman" w:hAnsi="Times New Roman"/>
          <w:sz w:val="24"/>
          <w:szCs w:val="24"/>
        </w:rPr>
        <w:t>. Zoznam schválených/neschválených Žiadostí bude zverejnený na webovom sídle Vykonávateľa Schémy.</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pBdr/>
        <w:spacing w:lineRule="auto" w:line="240" w:before="0" w:after="280"/>
        <w:ind w:left="426" w:hanging="426"/>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Hodnotenie a výber Žiadateľov:</w:t>
      </w:r>
    </w:p>
    <w:p>
      <w:pPr>
        <w:pStyle w:val="Normal"/>
        <w:pBdr/>
        <w:spacing w:lineRule="auto" w:line="240" w:before="0" w:after="280"/>
        <w:ind w:left="426"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120" w:after="1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Organizácia zasadnutia výberovej komisie je v kompetencii Vykonávateľa a zmena termínu je zo strany Vykonávateľa možná. Výber Žiadateľov o účasť na medzinárodnom odbornom podujatí bude realizovaný na základe posúdenia relevantnosti Žiadosti pomocou nasledovných kritérií:</w:t>
      </w:r>
    </w:p>
    <w:p>
      <w:pPr>
        <w:pStyle w:val="Normal"/>
        <w:numPr>
          <w:ilvl w:val="0"/>
          <w:numId w:val="6"/>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kvalita a spracovanie Žiadosti a jej relevantnosť podania vo vzťahu k ponúkanej službe;</w:t>
      </w:r>
    </w:p>
    <w:p>
      <w:pPr>
        <w:pStyle w:val="Normal"/>
        <w:numPr>
          <w:ilvl w:val="0"/>
          <w:numId w:val="6"/>
        </w:numPr>
        <w:pBdr/>
        <w:spacing w:lineRule="auto" w:line="240" w:before="0" w:after="120"/>
        <w:ind w:left="284" w:hanging="284"/>
        <w:contextualSpacing/>
        <w:jc w:val="both"/>
        <w:rPr>
          <w:color w:val="000000"/>
          <w:sz w:val="24"/>
          <w:szCs w:val="24"/>
        </w:rPr>
      </w:pPr>
      <w:r>
        <w:rPr>
          <w:rFonts w:eastAsia="Times New Roman" w:cs="Times New Roman" w:ascii="Times New Roman" w:hAnsi="Times New Roman"/>
          <w:color w:val="000000"/>
          <w:sz w:val="24"/>
          <w:szCs w:val="24"/>
        </w:rPr>
        <w:t>kvalita a spracovanie profilu MSP do 3 rokov.</w:t>
      </w:r>
    </w:p>
    <w:p>
      <w:pPr>
        <w:pStyle w:val="Normal"/>
        <w:pBdr/>
        <w:spacing w:lineRule="auto" w:line="240" w:before="0" w:after="120"/>
        <w:ind w:left="284" w:hanging="0"/>
        <w:contextualSpacing/>
        <w:jc w:val="both"/>
        <w:rPr>
          <w:color w:val="000000"/>
          <w:sz w:val="24"/>
          <w:szCs w:val="24"/>
        </w:rPr>
      </w:pPr>
      <w:r>
        <w:rPr>
          <w:color w:val="000000"/>
          <w:sz w:val="24"/>
          <w:szCs w:val="24"/>
        </w:rPr>
      </w:r>
    </w:p>
    <w:p>
      <w:pPr>
        <w:pStyle w:val="Normal"/>
        <w:spacing w:lineRule="auto" w:line="240" w:before="160" w:after="2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Vykonávateľ uzavrie s úspešným Žiadateľom zmluvu o poskytnutí podpory (ďalej len „</w:t>
      </w:r>
      <w:r>
        <w:rPr>
          <w:rFonts w:eastAsia="Times New Roman" w:cs="Times New Roman" w:ascii="Times New Roman" w:hAnsi="Times New Roman"/>
          <w:b/>
          <w:sz w:val="24"/>
          <w:szCs w:val="24"/>
        </w:rPr>
        <w:t>Zmluva</w:t>
      </w:r>
      <w:r>
        <w:rPr>
          <w:rFonts w:eastAsia="Times New Roman" w:cs="Times New Roman" w:ascii="Times New Roman" w:hAnsi="Times New Roman"/>
          <w:sz w:val="24"/>
          <w:szCs w:val="24"/>
        </w:rPr>
        <w:t>“), na základe ktorej sa bude môcť zúčastniť na medzinárodnom odbornom podujatí. Žiadateľ sa nadobudnutím účinnosti Zmluvy stáva Prijímateľom (ďalej len „</w:t>
      </w:r>
      <w:r>
        <w:rPr>
          <w:rFonts w:eastAsia="Times New Roman" w:cs="Times New Roman" w:ascii="Times New Roman" w:hAnsi="Times New Roman"/>
          <w:b/>
          <w:sz w:val="24"/>
          <w:szCs w:val="24"/>
        </w:rPr>
        <w:t>Prijímateľ</w:t>
      </w:r>
      <w:r>
        <w:rPr>
          <w:rFonts w:eastAsia="Times New Roman" w:cs="Times New Roman" w:ascii="Times New Roman" w:hAnsi="Times New Roman"/>
          <w:sz w:val="24"/>
          <w:szCs w:val="24"/>
        </w:rPr>
        <w:t>“), pričom za deň poskytnutia pomoci sa považuje deň nadobudnutia účinnosti Zmluvy .</w:t>
      </w:r>
    </w:p>
    <w:p>
      <w:pPr>
        <w:pStyle w:val="Normal"/>
        <w:numPr>
          <w:ilvl w:val="0"/>
          <w:numId w:val="1"/>
        </w:numPr>
        <w:pBdr/>
        <w:spacing w:lineRule="auto" w:line="240" w:before="0" w:after="28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Termín uzávierky:</w:t>
      </w:r>
    </w:p>
    <w:p>
      <w:pPr>
        <w:pStyle w:val="Normal"/>
        <w:pBdr/>
        <w:spacing w:lineRule="auto" w:line="240" w:before="0" w:after="280"/>
        <w:ind w:left="284"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rFonts w:ascii="Times New Roman" w:hAnsi="Times New Roman" w:eastAsia="Times New Roman" w:cs="Times New Roman"/>
          <w:color w:val="0070C0"/>
          <w:sz w:val="44"/>
          <w:szCs w:val="44"/>
        </w:rPr>
      </w:pPr>
      <w:bookmarkStart w:id="2" w:name="_gjdgxs"/>
      <w:bookmarkEnd w:id="2"/>
      <w:r>
        <w:rPr>
          <w:rFonts w:eastAsia="Times New Roman" w:cs="Times New Roman" w:ascii="Times New Roman" w:hAnsi="Times New Roman"/>
          <w:color w:val="0070C0"/>
          <w:sz w:val="44"/>
          <w:szCs w:val="44"/>
        </w:rPr>
        <w:t>Termín uzavretia Výzvy je 03. 12. 2018</w:t>
      </w:r>
    </w:p>
    <w:p>
      <w:pPr>
        <w:pStyle w:val="Normal"/>
        <w:spacing w:lineRule="auto" w:line="240" w:before="0" w:after="0"/>
        <w:rPr>
          <w:rFonts w:ascii="Times New Roman" w:hAnsi="Times New Roman" w:eastAsia="Times New Roman" w:cs="Times New Roman"/>
          <w:color w:val="0070C0"/>
          <w:sz w:val="24"/>
          <w:szCs w:val="24"/>
        </w:rPr>
      </w:pPr>
      <w:r>
        <w:rPr>
          <w:rFonts w:eastAsia="Times New Roman" w:cs="Times New Roman" w:ascii="Times New Roman" w:hAnsi="Times New Roman"/>
          <w:color w:val="0070C0"/>
          <w:sz w:val="24"/>
          <w:szCs w:val="24"/>
        </w:rPr>
      </w:r>
    </w:p>
    <w:p>
      <w:pPr>
        <w:pStyle w:val="Normal"/>
        <w:numPr>
          <w:ilvl w:val="0"/>
          <w:numId w:val="1"/>
        </w:numPr>
        <w:pBdr/>
        <w:spacing w:lineRule="auto" w:line="240" w:before="400" w:after="0"/>
        <w:ind w:left="284" w:hanging="284"/>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Ostatné podmienky účasti:</w:t>
      </w:r>
    </w:p>
    <w:p>
      <w:pPr>
        <w:pStyle w:val="Normal"/>
        <w:pBdr/>
        <w:spacing w:lineRule="auto" w:line="240" w:before="0" w:after="0"/>
        <w:ind w:left="284" w:hanging="284"/>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Prijímateľmi sú fyzické osoby alebo právnické osoby, ktoré sú podnikateľmi podľa ustanovenia § 2 ods. 2 písm. a), b), c)</w:t>
      </w:r>
      <w:r>
        <w:rPr>
          <w:rStyle w:val="Ukotveniepoznmkypodiarou"/>
          <w:rFonts w:eastAsia="Times New Roman" w:cs="Times New Roman" w:ascii="Times New Roman" w:hAnsi="Times New Roman"/>
          <w:color w:val="000000"/>
          <w:sz w:val="24"/>
          <w:szCs w:val="24"/>
        </w:rPr>
        <w:footnoteReference w:id="6"/>
      </w:r>
      <w:r>
        <w:rPr>
          <w:rFonts w:eastAsia="Times New Roman" w:cs="Times New Roman" w:ascii="Times New Roman" w:hAnsi="Times New Roman"/>
          <w:color w:val="000000"/>
          <w:sz w:val="24"/>
          <w:szCs w:val="24"/>
        </w:rPr>
        <w:t xml:space="preserve"> zákona č. 513/1991 Zb. Obchodný zákonník v znení neskorších predpisov založené a existujúce podľa práva Slovenskej republiky.</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Od ich vzniku v čase podania Žiadosti neuplynuli viac ako 3 roky a zároveň sú podnikom v zmysle článku 107 ods. 1 Zmluvy o fungovaní Európskej únie.</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Prijímateľmi sú podnikateľské subjekty, ktoré spĺňajú definíciu MSP ku dňu podania Žiadosti v zmysle definície uvedenej v prílohe I Nariadenia Komisie (EÚ) č. 651/2014 zo 17. júna 2014 o vyhlásení určitých kategórií pomoci za zlučiteľné s vnútorným trhom podľa článkov 107 a 108 Zmluvy o fungovaní Európskej únie.</w:t>
      </w:r>
    </w:p>
    <w:p>
      <w:pPr>
        <w:pStyle w:val="Normal"/>
        <w:numPr>
          <w:ilvl w:val="0"/>
          <w:numId w:val="4"/>
        </w:numPr>
        <w:pBdr/>
        <w:spacing w:lineRule="auto" w:line="252"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Pomoc nemôže byť poskytnutá Prijímateľovi, voči ktorému sa uplatňuje vrátenie štátnej pomoci na základe rozhodnutia Európskej komisie, v ktorom bola táto štátna pomoc označená za neoprávnenú a nezlučiteľnú s vnútorným trhom.</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 xml:space="preserve">Prijímateľom nemôže byť podnik, ktorý bol právoplatne odsúdený v zmysle zákona č. 91/2016 Z. z. </w:t>
      </w:r>
      <w:r>
        <w:rPr>
          <w:rFonts w:eastAsia="Times New Roman" w:cs="Times New Roman" w:ascii="Times New Roman" w:hAnsi="Times New Roman"/>
          <w:color w:val="000000"/>
          <w:sz w:val="24"/>
          <w:szCs w:val="24"/>
          <w:highlight w:val="white"/>
        </w:rPr>
        <w:t>o trestnej zodpovednosti právnických osôb a o zmene a doplnení niektorých zákonov v znení neskorších predpisov</w:t>
      </w:r>
      <w:r>
        <w:rPr>
          <w:rFonts w:eastAsia="Times New Roman" w:cs="Times New Roman" w:ascii="Times New Roman" w:hAnsi="Times New Roman"/>
          <w:color w:val="000000"/>
          <w:sz w:val="24"/>
          <w:szCs w:val="24"/>
        </w:rPr>
        <w:t>.</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Prijímateľom nemôže byť podnik, ktorý je dlžníkom voči štátu (t. j. má nevysporiadané daňové odvody, evidované nedoplatky poistného na zdravotné poistenie, sociálne poistenie a príspevkov na starobné dôchodkové sporenie).</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Prijímateľom nemôže byť podnik, voči ktorému je vedené konkurzné konanie, je v konkurze, v likvidácii, v reštrukturalizácii a bol proti nemu zamietnutý návrh na vyhlásenie konkurzu pre nedostatok majetku.</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 xml:space="preserve">Prijímateľom nemôže byť podnik, voči ktorému je vedený výkon rozhodnutia (napr. podľa zákona č. 233/1995 Z. z. o súdnych exekútoroch a exekučnej činnosti </w:t>
      </w:r>
      <w:r>
        <w:rPr>
          <w:rFonts w:eastAsia="Times New Roman" w:cs="Times New Roman" w:ascii="Times New Roman" w:hAnsi="Times New Roman"/>
          <w:color w:val="000000"/>
          <w:sz w:val="24"/>
          <w:szCs w:val="24"/>
          <w:highlight w:val="white"/>
        </w:rPr>
        <w:t>(Exekučný poriadok) a o zmene a doplnení ďalších zákonov v znení neskorších predpisov</w:t>
      </w:r>
      <w:r>
        <w:rPr>
          <w:rFonts w:eastAsia="Times New Roman" w:cs="Times New Roman" w:ascii="Times New Roman" w:hAnsi="Times New Roman"/>
          <w:color w:val="000000"/>
          <w:sz w:val="24"/>
          <w:szCs w:val="24"/>
        </w:rPr>
        <w:t xml:space="preserve">, a/alebo zákona č. 563/2009 Z. z. o správe daní (daňový poriadok) a o zmene a doplnení niektorých zákonov </w:t>
      </w:r>
      <w:r>
        <w:rPr>
          <w:rFonts w:eastAsia="Times New Roman" w:cs="Times New Roman" w:ascii="Times New Roman" w:hAnsi="Times New Roman"/>
          <w:color w:val="000000"/>
          <w:sz w:val="24"/>
          <w:szCs w:val="24"/>
          <w:highlight w:val="white"/>
        </w:rPr>
        <w:t>v znení neskorších predpisov</w:t>
      </w:r>
      <w:r>
        <w:rPr>
          <w:rFonts w:eastAsia="Times New Roman" w:cs="Times New Roman" w:ascii="Times New Roman" w:hAnsi="Times New Roman"/>
          <w:color w:val="000000"/>
          <w:sz w:val="24"/>
          <w:szCs w:val="24"/>
        </w:rPr>
        <w:t>).</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Prijímateľom nemôže byť podnik, ktorý porušil zákaz nelegálnej práce a nelegálneho zamestnávania v predchádzajúcich 3 rokoch.</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Prijímateľom nemôže byť podnik, ktorý nemá vysporiadané finančné vzťahy so štátnym rozpočtom.</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Prijímateľom nemôže byť podnik, ktorý patrí do skupiny podnikov, ktoré sú považované za jediný podnik podľa článku 2 ods. 2 Nariadenia Komisie (EÚ) č. 1407/2013 o uplatňovaní článkov 107 a 108 Zmluvy o fungovaní Európskej Únie na pomoc de minimis. V opačnom prípade predloží údaje o prijatej pomoci de minimis za všetkých členov skupiny podnikov, ktoré s podnikom tvoria jediný podnik.</w:t>
      </w:r>
    </w:p>
    <w:p>
      <w:pPr>
        <w:pStyle w:val="Normal"/>
        <w:numPr>
          <w:ilvl w:val="0"/>
          <w:numId w:val="4"/>
        </w:numPr>
        <w:pBdr/>
        <w:spacing w:lineRule="auto" w:line="240" w:before="0" w:after="0"/>
        <w:ind w:left="284" w:hanging="284"/>
        <w:contextualSpacing/>
        <w:jc w:val="both"/>
        <w:rPr/>
      </w:pPr>
      <w:r>
        <w:rPr>
          <w:rFonts w:eastAsia="Times New Roman" w:cs="Times New Roman" w:ascii="Times New Roman" w:hAnsi="Times New Roman"/>
          <w:color w:val="000000"/>
          <w:sz w:val="24"/>
          <w:szCs w:val="24"/>
        </w:rPr>
        <w:t>Pomoc sa vzťahuje na všetky odvetvia hospodárstva okrem sektorov vyradených z rozsahu pôsobnosti pomoci de minimis, definovaných v článku G) Schémy  (</w:t>
      </w:r>
      <w:hyperlink r:id="rId5">
        <w:r>
          <w:rPr>
            <w:rStyle w:val="Internetovodkaz"/>
            <w:rFonts w:eastAsia="Times New Roman" w:cs="Times New Roman" w:ascii="Times New Roman" w:hAnsi="Times New Roman"/>
            <w:color w:val="0000FF"/>
            <w:sz w:val="24"/>
            <w:szCs w:val="24"/>
            <w:u w:val="single"/>
          </w:rPr>
          <w:t>http://www.sbagency.sk/sites/default/files/pictures/schema_na_podporu_maleho_a_stredneho_podnikania_v_sr.pdf</w:t>
        </w:r>
      </w:hyperlink>
      <w:r>
        <w:rPr>
          <w:rFonts w:eastAsia="Times New Roman" w:cs="Times New Roman" w:ascii="Times New Roman" w:hAnsi="Times New Roman"/>
          <w:color w:val="000000"/>
          <w:sz w:val="24"/>
          <w:szCs w:val="24"/>
        </w:rPr>
        <w:t>).</w:t>
      </w:r>
    </w:p>
    <w:p>
      <w:pPr>
        <w:pStyle w:val="Normal"/>
        <w:numPr>
          <w:ilvl w:val="0"/>
          <w:numId w:val="4"/>
        </w:numPr>
        <w:pBdr/>
        <w:spacing w:lineRule="auto" w:line="240" w:before="0" w:after="0"/>
        <w:ind w:left="284" w:hanging="284"/>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Pomoc sa v zmysle tejto Výzvy nevzťahuje na Žiadateľa, ktorý je subjektom územnej samosprávy vykonávajúcim hospodársku činnosť</w:t>
      </w:r>
      <w:r>
        <w:rPr>
          <w:rStyle w:val="Ukotveniepoznmkypodiarou"/>
          <w:rFonts w:eastAsia="Times New Roman" w:cs="Times New Roman" w:ascii="Times New Roman" w:hAnsi="Times New Roman"/>
          <w:sz w:val="24"/>
          <w:szCs w:val="24"/>
        </w:rPr>
        <w:footnoteReference w:id="7"/>
      </w:r>
      <w:r>
        <w:rPr>
          <w:rFonts w:eastAsia="Times New Roman" w:cs="Times New Roman" w:ascii="Times New Roman" w:hAnsi="Times New Roman"/>
          <w:sz w:val="24"/>
          <w:szCs w:val="24"/>
        </w:rPr>
        <w:t xml:space="preserve">. </w:t>
      </w:r>
    </w:p>
    <w:p>
      <w:pPr>
        <w:pStyle w:val="Normal"/>
        <w:numPr>
          <w:ilvl w:val="0"/>
          <w:numId w:val="4"/>
        </w:numPr>
        <w:pBdr/>
        <w:spacing w:lineRule="auto" w:line="240" w:before="0" w:after="0"/>
        <w:ind w:left="284" w:hanging="284"/>
        <w:contextualSpacing/>
        <w:jc w:val="both"/>
        <w:rPr>
          <w:color w:val="000000"/>
          <w:sz w:val="24"/>
          <w:szCs w:val="24"/>
        </w:rPr>
      </w:pPr>
      <w:r>
        <w:rPr>
          <w:rFonts w:eastAsia="Times New Roman" w:cs="Times New Roman" w:ascii="Times New Roman" w:hAnsi="Times New Roman"/>
          <w:color w:val="000000"/>
          <w:sz w:val="24"/>
          <w:szCs w:val="24"/>
        </w:rPr>
        <w:t>Prijímateľ musí spĺňať všetky podmienky podľa prílohy č. 1 Schémy,</w:t>
      </w:r>
    </w:p>
    <w:p>
      <w:pPr>
        <w:pStyle w:val="ListParagraph"/>
        <w:numPr>
          <w:ilvl w:val="0"/>
          <w:numId w:val="4"/>
        </w:numPr>
        <w:spacing w:lineRule="auto" w:line="240" w:before="0" w:after="0"/>
        <w:ind w:left="284" w:hanging="284"/>
        <w:jc w:val="both"/>
        <w:rPr/>
      </w:pPr>
      <w:r>
        <w:rPr>
          <w:rFonts w:cs="Times New Roman" w:ascii="Times New Roman" w:hAnsi="Times New Roman"/>
          <w:color w:val="000000"/>
          <w:sz w:val="24"/>
          <w:szCs w:val="23"/>
        </w:rPr>
        <w:t xml:space="preserve">Prijímateľ je povinný poskytnúť Vykonávateľovi osobné údaje štatutárneho zástupcu, kontaktnej osoby a poverených osôb v rozsahu: titul, meno, priezvisko, adresa trvalého pobytu, telefonický kontakt a e-mail. Údaje budú spracované na účel poskytnutia pomoci v zmysle Schémy na obdobie na obdobie 10 rokov od ukončenia Projektu. Ukončením Projektu sa rozumie odovzdanie poslednej Následnej monitorovacej správy. Podrobnosti o Ochrane osobných údajov nájdete na webovom sídle Vykonávateľa </w:t>
      </w:r>
      <w:hyperlink r:id="rId6">
        <w:r>
          <w:rPr>
            <w:rStyle w:val="Internetovodkaz"/>
            <w:rFonts w:cs="Calibri" w:ascii="Times New Roman" w:hAnsi="Times New Roman"/>
            <w:sz w:val="24"/>
            <w:szCs w:val="23"/>
          </w:rPr>
          <w:t>www.sbagency.sk</w:t>
        </w:r>
      </w:hyperlink>
      <w:r>
        <w:rPr>
          <w:rFonts w:cs="Times New Roman" w:ascii="Times New Roman" w:hAnsi="Times New Roman"/>
          <w:color w:val="000000"/>
          <w:sz w:val="24"/>
          <w:szCs w:val="23"/>
        </w:rPr>
        <w: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pPr>
      <w:r>
        <w:rPr>
          <w:rFonts w:eastAsia="Times New Roman" w:cs="Times New Roman" w:ascii="Times New Roman" w:hAnsi="Times New Roman"/>
          <w:sz w:val="24"/>
          <w:szCs w:val="24"/>
        </w:rPr>
        <w:t>Projekt je financovaný z prostriedkov Európskej únie v súlade so zákonom č. 292/2014 Z. z. Zákon o príspevku poskytovanom z európskych štrukturálnych a investičných fondov a o zmene a doplnení niektorých zákonov v znení neskorších predpisov a v súlade s príslušnou riadiacou dokumentáciou upravujúcou implementáciu národných projektov realizovaných v gescii Ministerstva hospodárstva Slovenskej republiky. V rámci tejto Výzvy sa jedná o nefinančnú formu podpory, ktorá je poskytovaná v zmysle</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zákona č. 358/2015 Z. z. o úprave niektorých vzťahov v oblasti štátnej pomoci a minimálnej pomoci a o zmene a doplnení niektorých zákonov (zákon o štátnej pomoci). Viac informácií o tomto zákone nájdete na </w:t>
      </w:r>
      <w:hyperlink r:id="rId7">
        <w:r>
          <w:rPr>
            <w:rStyle w:val="Internetovodkaz"/>
            <w:rFonts w:eastAsia="Times New Roman" w:cs="Times New Roman" w:ascii="Times New Roman" w:hAnsi="Times New Roman"/>
            <w:color w:val="0000FF"/>
            <w:sz w:val="24"/>
            <w:szCs w:val="24"/>
            <w:u w:val="single"/>
          </w:rPr>
          <w:t>http://www.statnapomoc.sk/wp-content/uploads/2015/12/Zakon-c-358-2015.pdf</w:t>
        </w:r>
      </w:hyperlink>
      <w:r>
        <w:rPr>
          <w:rFonts w:eastAsia="Times New Roman" w:cs="Times New Roman" w:ascii="Times New Roman" w:hAnsi="Times New Roman"/>
          <w:sz w:val="24"/>
          <w:szCs w:val="24"/>
        </w:rPr>
        <w:t xml:space="preserv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pPr>
      <w:r>
        <w:rPr>
          <w:rFonts w:eastAsia="Times New Roman" w:cs="Times New Roman" w:ascii="Times New Roman" w:hAnsi="Times New Roman"/>
          <w:sz w:val="24"/>
          <w:szCs w:val="24"/>
        </w:rPr>
        <w:t xml:space="preserve">Prijímateľovi je poskytnutá pomoc de minimis. Ide o nepriamu formu pomoci, vo forme 100 % úhrady oprávnených výdavkov spojených so zabezpečením účasti na medzinárodnom odbornom podujatí z prostriedkov Projektu, v rámci hlavnej aktivity 1. Národné Podnikateľské Centrum v 7 samosprávnych krajoch Slovenskej republiky s výnimkou Bratislavského samosprávneho kraja, podaktivity 1.5: Stážový program NPC v regiónoch Slovenska (SP), t. j. Prijímateľovi bude zabezpečený vstup na medzinárodné odborné podujatie, ubytovanie počas trvania medzinárodného odborného podujatia a zabezpečenie letenky do a z miesta konania medzinárodného odborného podujatia. Všetky dodatočné výdavky si hradí Prijímateľ sám. Refundácia oprávnených výdavkov hradených prvotne Žiadateľom nie je zo strany Vykonávateľa následne možná. Informácie o povinnostiach MSP súvisiacich s pomocou de minimis nájdete na internetovej stránke </w:t>
      </w:r>
      <w:hyperlink r:id="rId8">
        <w:r>
          <w:rPr>
            <w:rStyle w:val="Internetovodkaz"/>
            <w:rFonts w:eastAsia="Times New Roman" w:cs="Times New Roman" w:ascii="Times New Roman" w:hAnsi="Times New Roman"/>
            <w:color w:val="0000FF"/>
            <w:sz w:val="24"/>
            <w:szCs w:val="24"/>
            <w:u w:val="single"/>
          </w:rPr>
          <w:t>http://www.statnapomoc.sk/</w:t>
        </w:r>
      </w:hyperlink>
      <w:r>
        <w:rPr>
          <w:rFonts w:eastAsia="Times New Roman" w:cs="Times New Roman" w:ascii="Times New Roman" w:hAnsi="Times New Roman"/>
          <w:sz w:val="24"/>
          <w:szCs w:val="24"/>
        </w:rPr>
        <w: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pPr>
      <w:r>
        <w:rPr>
          <w:rFonts w:eastAsia="Times New Roman" w:cs="Times New Roman" w:ascii="Times New Roman" w:hAnsi="Times New Roman"/>
          <w:color w:val="000000"/>
          <w:sz w:val="24"/>
          <w:szCs w:val="24"/>
        </w:rPr>
        <w:t>P</w:t>
      </w:r>
      <w:r>
        <w:rPr>
          <w:rFonts w:eastAsia="Times New Roman" w:cs="Times New Roman" w:ascii="Times New Roman" w:hAnsi="Times New Roman"/>
          <w:sz w:val="24"/>
          <w:szCs w:val="24"/>
        </w:rPr>
        <w:t xml:space="preserve">rojekt realizuje </w:t>
      </w:r>
      <w:r>
        <w:rPr>
          <w:rFonts w:eastAsia="Times New Roman" w:cs="Times New Roman" w:ascii="Times New Roman" w:hAnsi="Times New Roman"/>
          <w:b/>
          <w:sz w:val="24"/>
          <w:szCs w:val="24"/>
        </w:rPr>
        <w:t>Vykonávateľ</w:t>
      </w:r>
      <w:r>
        <w:rPr>
          <w:rFonts w:eastAsia="Times New Roman" w:cs="Times New Roman" w:ascii="Times New Roman" w:hAnsi="Times New Roman"/>
          <w:sz w:val="24"/>
          <w:szCs w:val="24"/>
        </w:rPr>
        <w:t xml:space="preserve"> v spolupráci s </w:t>
      </w:r>
      <w:r>
        <w:rPr>
          <w:rFonts w:eastAsia="Times New Roman" w:cs="Times New Roman" w:ascii="Times New Roman" w:hAnsi="Times New Roman"/>
          <w:b/>
          <w:sz w:val="24"/>
          <w:szCs w:val="24"/>
        </w:rPr>
        <w:t>C</w:t>
      </w:r>
      <w:r>
        <w:rPr>
          <w:rFonts w:eastAsia="Times New Roman" w:cs="Times New Roman" w:ascii="Times New Roman" w:hAnsi="Times New Roman"/>
          <w:b/>
          <w:color w:val="141414"/>
          <w:sz w:val="24"/>
          <w:szCs w:val="24"/>
        </w:rPr>
        <w:t>entrom vedecko-technických informácií SR (CVTI SR)</w:t>
      </w:r>
      <w:r>
        <w:rPr>
          <w:rFonts w:eastAsia="Times New Roman" w:cs="Times New Roman" w:ascii="Times New Roman" w:hAnsi="Times New Roman"/>
          <w:sz w:val="24"/>
          <w:szCs w:val="24"/>
        </w:rPr>
        <w:t xml:space="preserve">. Viac o službách pre podnikateľov aj nepodnikateľov nájdete na webovej stránke </w:t>
      </w:r>
      <w:hyperlink r:id="rId9">
        <w:r>
          <w:rPr>
            <w:rStyle w:val="Internetovodkaz"/>
            <w:rFonts w:eastAsia="Times New Roman" w:cs="Times New Roman" w:ascii="Times New Roman" w:hAnsi="Times New Roman"/>
            <w:color w:val="000000"/>
            <w:sz w:val="24"/>
            <w:szCs w:val="24"/>
          </w:rPr>
          <w:t>NPC</w:t>
        </w:r>
      </w:hyperlink>
      <w:r>
        <w:rPr>
          <w:rFonts w:eastAsia="Times New Roman" w:cs="Times New Roman" w:ascii="Times New Roman" w:hAnsi="Times New Roman"/>
          <w:sz w:val="24"/>
          <w:szCs w:val="24"/>
        </w:rPr>
        <w: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 xml:space="preserve">Pre poskytovanie našich služieb – zber informácií potrebných pre registráciu, používame online služby Google Docs, ktoré poskytuje na základe dohody so sprostredkovateľom spoločnosť Google LLC so sídlom na adrese 1600 Amphitheatre Parkway, Mountain View, CA 94043, Spojené štáty americké. Podrobnosti o ochrane OÚ spoločnosťou sú dostupné online na </w:t>
      </w:r>
      <w:hyperlink r:id="rId10">
        <w:r>
          <w:rPr>
            <w:rStyle w:val="Internetovodkaz"/>
            <w:rFonts w:ascii="Times New Roman" w:hAnsi="Times New Roman"/>
            <w:sz w:val="24"/>
            <w:szCs w:val="24"/>
          </w:rPr>
          <w:t>https://policies.google.com/privacy</w:t>
        </w:r>
      </w:hyperlink>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Vykonávateľ</w:t>
      </w:r>
      <w:r>
        <w:rPr>
          <w:rFonts w:eastAsia="Times New Roman" w:cs="Times New Roman" w:ascii="Times New Roman" w:hAnsi="Times New Roman"/>
          <w:sz w:val="24"/>
          <w:szCs w:val="24"/>
        </w:rPr>
        <w:t xml:space="preserve"> si vyhradzuje právo túto Výzvu zrušiť a/alebo zmeniť.</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Kontaktné údaje pre záujemcov: </w:t>
      </w:r>
    </w:p>
    <w:p>
      <w:pPr>
        <w:pStyle w:val="Normal"/>
        <w:spacing w:lineRule="auto" w:line="240" w:before="0" w:after="0"/>
        <w:jc w:val="center"/>
        <w:rPr/>
      </w:pPr>
      <w:r>
        <w:rPr>
          <w:rFonts w:eastAsia="Times New Roman" w:cs="Times New Roman" w:ascii="Times New Roman" w:hAnsi="Times New Roman"/>
          <w:sz w:val="24"/>
          <w:szCs w:val="24"/>
        </w:rPr>
        <w:t xml:space="preserve">Banskobystrický kraj: </w:t>
      </w:r>
      <w:hyperlink r:id="rId11">
        <w:r>
          <w:rPr>
            <w:rStyle w:val="Internetovodkaz"/>
            <w:rFonts w:eastAsia="Times New Roman" w:cs="Times New Roman" w:ascii="Times New Roman" w:hAnsi="Times New Roman"/>
            <w:color w:val="0000FF"/>
            <w:sz w:val="24"/>
            <w:szCs w:val="24"/>
            <w:u w:val="single"/>
          </w:rPr>
          <w:t>sp.bb@npc.sk</w:t>
        </w:r>
      </w:hyperlink>
      <w:r>
        <w:rPr>
          <w:rFonts w:eastAsia="Times New Roman" w:cs="Times New Roman" w:ascii="Times New Roman" w:hAnsi="Times New Roman"/>
          <w:sz w:val="24"/>
          <w:szCs w:val="24"/>
        </w:rPr>
        <w:t xml:space="preserve">  </w:t>
      </w:r>
    </w:p>
    <w:p>
      <w:pPr>
        <w:pStyle w:val="Normal"/>
        <w:spacing w:lineRule="auto" w:line="240" w:before="0" w:after="0"/>
        <w:jc w:val="center"/>
        <w:rPr/>
      </w:pPr>
      <w:r>
        <w:rPr>
          <w:rFonts w:eastAsia="Times New Roman" w:cs="Times New Roman" w:ascii="Times New Roman" w:hAnsi="Times New Roman"/>
          <w:sz w:val="24"/>
          <w:szCs w:val="24"/>
        </w:rPr>
        <w:t xml:space="preserve">Košický kraj: </w:t>
      </w:r>
      <w:hyperlink r:id="rId12">
        <w:r>
          <w:rPr>
            <w:rStyle w:val="Internetovodkaz"/>
            <w:rFonts w:eastAsia="Times New Roman" w:cs="Times New Roman" w:ascii="Times New Roman" w:hAnsi="Times New Roman"/>
            <w:color w:val="0000FF"/>
            <w:sz w:val="24"/>
            <w:szCs w:val="24"/>
            <w:u w:val="single"/>
          </w:rPr>
          <w:t>sp.ke@npc.sk</w:t>
        </w:r>
      </w:hyperlink>
      <w:r>
        <w:rPr>
          <w:rFonts w:eastAsia="Times New Roman" w:cs="Times New Roman" w:ascii="Times New Roman" w:hAnsi="Times New Roman"/>
          <w:sz w:val="24"/>
          <w:szCs w:val="24"/>
        </w:rPr>
        <w:t xml:space="preserve"> </w:t>
      </w:r>
    </w:p>
    <w:p>
      <w:pPr>
        <w:pStyle w:val="Normal"/>
        <w:spacing w:lineRule="auto" w:line="240" w:before="0" w:after="0"/>
        <w:jc w:val="center"/>
        <w:rPr/>
      </w:pPr>
      <w:r>
        <w:rPr>
          <w:rFonts w:eastAsia="Times New Roman" w:cs="Times New Roman" w:ascii="Times New Roman" w:hAnsi="Times New Roman"/>
          <w:sz w:val="24"/>
          <w:szCs w:val="24"/>
        </w:rPr>
        <w:t xml:space="preserve">Nitriansky kraj: </w:t>
      </w:r>
      <w:hyperlink r:id="rId13">
        <w:r>
          <w:rPr>
            <w:rStyle w:val="Internetovodkaz"/>
            <w:rFonts w:eastAsia="Times New Roman" w:cs="Times New Roman" w:ascii="Times New Roman" w:hAnsi="Times New Roman"/>
            <w:color w:val="0000FF"/>
            <w:sz w:val="24"/>
            <w:szCs w:val="24"/>
            <w:u w:val="single"/>
          </w:rPr>
          <w:t>sp.nr@npc.sk</w:t>
        </w:r>
      </w:hyperlink>
      <w:r>
        <w:rPr>
          <w:rFonts w:eastAsia="Times New Roman" w:cs="Times New Roman" w:ascii="Times New Roman" w:hAnsi="Times New Roman"/>
          <w:sz w:val="24"/>
          <w:szCs w:val="24"/>
        </w:rPr>
        <w:t xml:space="preserve"> </w:t>
      </w:r>
    </w:p>
    <w:p>
      <w:pPr>
        <w:pStyle w:val="Normal"/>
        <w:spacing w:lineRule="auto" w:line="240" w:before="0" w:after="0"/>
        <w:jc w:val="center"/>
        <w:rPr/>
      </w:pPr>
      <w:r>
        <w:rPr>
          <w:rFonts w:eastAsia="Times New Roman" w:cs="Times New Roman" w:ascii="Times New Roman" w:hAnsi="Times New Roman"/>
          <w:sz w:val="24"/>
          <w:szCs w:val="24"/>
        </w:rPr>
        <w:t xml:space="preserve">Prešovský kraj: </w:t>
      </w:r>
      <w:hyperlink r:id="rId14">
        <w:r>
          <w:rPr>
            <w:rStyle w:val="Internetovodkaz"/>
            <w:rFonts w:eastAsia="Times New Roman" w:cs="Times New Roman" w:ascii="Times New Roman" w:hAnsi="Times New Roman"/>
            <w:color w:val="0000FF"/>
            <w:sz w:val="24"/>
            <w:szCs w:val="24"/>
            <w:u w:val="single"/>
          </w:rPr>
          <w:t>sp.po@npc.sk</w:t>
        </w:r>
      </w:hyperlink>
      <w:r>
        <w:rPr>
          <w:rFonts w:eastAsia="Times New Roman" w:cs="Times New Roman" w:ascii="Times New Roman" w:hAnsi="Times New Roman"/>
          <w:sz w:val="24"/>
          <w:szCs w:val="24"/>
        </w:rPr>
        <w:t xml:space="preserve"> </w:t>
      </w:r>
    </w:p>
    <w:p>
      <w:pPr>
        <w:pStyle w:val="Normal"/>
        <w:spacing w:lineRule="auto" w:line="240" w:before="0" w:after="0"/>
        <w:jc w:val="center"/>
        <w:rPr/>
      </w:pPr>
      <w:r>
        <w:rPr>
          <w:rFonts w:eastAsia="Times New Roman" w:cs="Times New Roman" w:ascii="Times New Roman" w:hAnsi="Times New Roman"/>
          <w:sz w:val="24"/>
          <w:szCs w:val="24"/>
        </w:rPr>
        <w:t xml:space="preserve">Trenčiansky kraj: </w:t>
      </w:r>
      <w:hyperlink r:id="rId15">
        <w:r>
          <w:rPr>
            <w:rStyle w:val="Internetovodkaz"/>
            <w:rFonts w:eastAsia="Times New Roman" w:cs="Times New Roman" w:ascii="Times New Roman" w:hAnsi="Times New Roman"/>
            <w:color w:val="0000FF"/>
            <w:sz w:val="24"/>
            <w:szCs w:val="24"/>
            <w:u w:val="single"/>
          </w:rPr>
          <w:t>sp.tn@npc.sk</w:t>
        </w:r>
      </w:hyperlink>
      <w:r>
        <w:rPr>
          <w:rFonts w:eastAsia="Times New Roman" w:cs="Times New Roman" w:ascii="Times New Roman" w:hAnsi="Times New Roman"/>
          <w:sz w:val="24"/>
          <w:szCs w:val="24"/>
        </w:rPr>
        <w:t xml:space="preserve"> </w:t>
      </w:r>
    </w:p>
    <w:p>
      <w:pPr>
        <w:pStyle w:val="Normal"/>
        <w:spacing w:lineRule="auto" w:line="240" w:before="0" w:after="0"/>
        <w:jc w:val="center"/>
        <w:rPr/>
      </w:pPr>
      <w:r>
        <w:rPr>
          <w:rFonts w:eastAsia="Times New Roman" w:cs="Times New Roman" w:ascii="Times New Roman" w:hAnsi="Times New Roman"/>
          <w:sz w:val="24"/>
          <w:szCs w:val="24"/>
        </w:rPr>
        <w:t xml:space="preserve">Trnavský kraj: </w:t>
      </w:r>
      <w:hyperlink r:id="rId16">
        <w:r>
          <w:rPr>
            <w:rStyle w:val="Internetovodkaz"/>
            <w:rFonts w:eastAsia="Times New Roman" w:cs="Times New Roman" w:ascii="Times New Roman" w:hAnsi="Times New Roman"/>
            <w:color w:val="0000FF"/>
            <w:sz w:val="24"/>
            <w:szCs w:val="24"/>
            <w:u w:val="single"/>
          </w:rPr>
          <w:t>sp.tt@npc.sk</w:t>
        </w:r>
      </w:hyperlink>
      <w:r>
        <w:rPr>
          <w:rFonts w:eastAsia="Times New Roman" w:cs="Times New Roman" w:ascii="Times New Roman" w:hAnsi="Times New Roman"/>
          <w:sz w:val="24"/>
          <w:szCs w:val="24"/>
        </w:rPr>
        <w:t xml:space="preserve"> </w:t>
      </w:r>
    </w:p>
    <w:p>
      <w:pPr>
        <w:pStyle w:val="Normal"/>
        <w:spacing w:lineRule="auto" w:line="240" w:before="0" w:after="0"/>
        <w:jc w:val="center"/>
        <w:rPr/>
      </w:pPr>
      <w:r>
        <w:rPr>
          <w:rFonts w:eastAsia="Times New Roman" w:cs="Times New Roman" w:ascii="Times New Roman" w:hAnsi="Times New Roman"/>
          <w:sz w:val="24"/>
          <w:szCs w:val="24"/>
        </w:rPr>
        <w:t xml:space="preserve">Žilinský kraj: </w:t>
      </w:r>
      <w:hyperlink r:id="rId17">
        <w:r>
          <w:rPr>
            <w:rStyle w:val="Internetovodkaz"/>
            <w:rFonts w:eastAsia="Times New Roman" w:cs="Times New Roman" w:ascii="Times New Roman" w:hAnsi="Times New Roman"/>
            <w:color w:val="0000FF"/>
            <w:sz w:val="24"/>
            <w:szCs w:val="24"/>
            <w:u w:val="single"/>
          </w:rPr>
          <w:t>sp.za@npc.sk</w:t>
        </w:r>
      </w:hyperlink>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Slovak Business Agency</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Karadžičova 2</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811 09 Bratislava</w:t>
      </w:r>
    </w:p>
    <w:p>
      <w:pPr>
        <w:pStyle w:val="Normal"/>
        <w:spacing w:lineRule="auto" w:line="240" w:before="0" w:after="0"/>
        <w:jc w:val="center"/>
        <w:rPr/>
      </w:pPr>
      <w:hyperlink r:id="rId18">
        <w:r>
          <w:rPr>
            <w:rStyle w:val="Internetovodkaz"/>
            <w:rFonts w:eastAsia="Times New Roman" w:cs="Times New Roman" w:ascii="Times New Roman" w:hAnsi="Times New Roman"/>
            <w:color w:val="0000FF"/>
            <w:sz w:val="24"/>
            <w:szCs w:val="24"/>
            <w:u w:val="single"/>
          </w:rPr>
          <w:t>agency@sbagency.sk</w:t>
        </w:r>
      </w:hyperlink>
    </w:p>
    <w:p>
      <w:pPr>
        <w:pStyle w:val="Normal"/>
        <w:spacing w:lineRule="auto" w:line="240" w:before="0" w:after="0"/>
        <w:jc w:val="center"/>
        <w:rPr/>
      </w:pPr>
      <w:r>
        <w:rPr>
          <w:rFonts w:eastAsia="Times New Roman" w:cs="Times New Roman" w:ascii="Times New Roman" w:hAnsi="Times New Roman"/>
          <w:sz w:val="24"/>
          <w:szCs w:val="24"/>
        </w:rPr>
        <w:t>tel.: +421 220 363 100</w:t>
      </w:r>
    </w:p>
    <w:sectPr>
      <w:footerReference w:type="default" r:id="rId19"/>
      <w:footnotePr>
        <w:numFmt w:val="decimal"/>
      </w:footnotePr>
      <w:type w:val="nextPage"/>
      <w:pgSz w:w="11906" w:h="16838"/>
      <w:pgMar w:left="1417" w:right="1417" w:header="0" w:top="1417" w:footer="708"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Cambria">
    <w:charset w:val="ee"/>
    <w:family w:val="roman"/>
    <w:pitch w:val="variable"/>
  </w:font>
  <w:font w:name="Times New Roman">
    <w:charset w:val="ee"/>
    <w:family w:val="roman"/>
    <w:pitch w:val="variable"/>
  </w:font>
  <w:font w:name="Liberation Sans">
    <w:altName w:val="Arial"/>
    <w:charset w:val="ee"/>
    <w:family w:val="swiss"/>
    <w:pitch w:val="variable"/>
  </w:font>
  <w:font w:name="Georgia">
    <w:charset w:val="ee"/>
    <w:family w:val="roman"/>
    <w:pitch w:val="variable"/>
  </w:font>
  <w:font w:name="Arial Narrow">
    <w:charset w:val="ee"/>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2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Kód Projektu ITMS2014+:313031I870</w:t>
      <w:tab/>
    </w:r>
    <w:r>
      <w:rPr>
        <w:rFonts w:eastAsia="Times New Roman" w:cs="Times New Roman" w:ascii="Times New Roman" w:hAnsi="Times New Roman"/>
        <w:color w:val="FF6600"/>
        <w:sz w:val="20"/>
        <w:szCs w:val="20"/>
      </w:rPr>
      <w:tab/>
      <w:tab/>
      <w:tab/>
      <w:t xml:space="preserve"> </w:t>
    </w:r>
    <w:r>
      <w:rPr>
        <w:rFonts w:eastAsia="Times New Roman" w:cs="Times New Roman" w:ascii="Times New Roman" w:hAnsi="Times New Roman"/>
        <w:color w:val="000000"/>
        <w:sz w:val="20"/>
        <w:szCs w:val="20"/>
      </w:rPr>
      <w:t>Národný projekt NPC v regiónoch</w:t>
    </w:r>
  </w:p>
  <w:p>
    <w:pPr>
      <w:pStyle w:val="Normal"/>
      <w:pBdr/>
      <w:tabs>
        <w:tab w:val="center" w:pos="4536" w:leader="none"/>
        <w:tab w:val="right" w:pos="9072" w:leader="none"/>
      </w:tabs>
      <w:spacing w:lineRule="auto" w:line="240" w:before="0" w:after="0"/>
      <w:rPr>
        <w:color w:val="FF6600"/>
        <w:sz w:val="20"/>
        <w:szCs w:val="20"/>
      </w:rPr>
    </w:pPr>
    <w:r>
      <w:rPr>
        <w:color w:val="FF6600"/>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pBdr/>
        <w:spacing w:lineRule="auto" w:line="240" w:before="0" w:after="0"/>
        <w:ind w:left="284" w:hanging="284"/>
        <w:jc w:val="both"/>
        <w:rPr/>
      </w:pPr>
      <w:r>
        <w:rPr>
          <w:vertAlign w:val="superscript"/>
        </w:rPr>
        <w:footnoteRef/>
        <w:tab/>
      </w:r>
      <w:r>
        <w:rPr>
          <w:rFonts w:eastAsia="Times New Roman" w:cs="Times New Roman" w:ascii="Times New Roman" w:hAnsi="Times New Roman"/>
          <w:color w:val="000000"/>
          <w:sz w:val="20"/>
          <w:szCs w:val="20"/>
          <w:vertAlign w:val="superscript"/>
        </w:rPr>
        <w:t xml:space="preserve"> </w:t>
      </w:r>
      <w:r>
        <w:rPr>
          <w:rFonts w:eastAsia="Times New Roman" w:cs="Times New Roman" w:ascii="Times New Roman" w:hAnsi="Times New Roman"/>
          <w:color w:val="000000"/>
          <w:sz w:val="20"/>
          <w:szCs w:val="20"/>
        </w:rPr>
        <w:tab/>
        <w:t>písm. c) okrem neregulovaných slobodných povolaní - fyzických osôb vykonávajúcich činnosť podľa Autorského zákona č. 185/2015 Z. z. v znení neskorších predpisov.</w:t>
      </w:r>
    </w:p>
  </w:footnote>
  <w:footnote w:id="3">
    <w:p>
      <w:pPr>
        <w:pStyle w:val="Normal"/>
        <w:pBdr/>
        <w:spacing w:lineRule="auto" w:line="240" w:before="0" w:after="0"/>
        <w:ind w:left="284" w:hanging="284"/>
        <w:jc w:val="both"/>
        <w:rPr/>
      </w:pPr>
      <w:r>
        <w:rPr>
          <w:vertAlign w:val="superscript"/>
        </w:rPr>
        <w:footnoteRef/>
        <w:tab/>
      </w:r>
      <w:r>
        <w:rPr>
          <w:color w:val="000000"/>
          <w:sz w:val="20"/>
          <w:szCs w:val="20"/>
        </w:rPr>
        <w:t xml:space="preserve"> </w:t>
      </w:r>
      <w:r>
        <w:rPr>
          <w:color w:val="000000"/>
          <w:sz w:val="20"/>
          <w:szCs w:val="20"/>
        </w:rPr>
        <w:tab/>
      </w:r>
      <w:r>
        <w:rPr>
          <w:rFonts w:eastAsia="Times New Roman" w:cs="Times New Roman" w:ascii="Times New Roman" w:hAnsi="Times New Roman"/>
          <w:color w:val="000000"/>
          <w:sz w:val="18"/>
          <w:szCs w:val="18"/>
        </w:rPr>
        <w:t>podnikateľské subjekty, ktoré spĺňajú definíciu MSP ku dňu podania Žiadosti v zmysle definície uvedenej v prílohe I Nariadenia Komisie (EÚ) č. 651/2014 zo 17. júna 2014 o vyhlásení určitých kategórií pomoci za zlučiteľné s vnútorným trhom podľa článkov 107 a 108 zmluvy.</w:t>
      </w:r>
    </w:p>
  </w:footnote>
  <w:footnote w:id="4">
    <w:p>
      <w:pPr>
        <w:pStyle w:val="Normal"/>
        <w:pBdr/>
        <w:spacing w:lineRule="auto" w:line="240" w:before="0" w:after="0"/>
        <w:ind w:left="284" w:hanging="284"/>
        <w:jc w:val="both"/>
        <w:rPr/>
      </w:pPr>
      <w:r>
        <w:rPr>
          <w:vertAlign w:val="superscript"/>
        </w:rPr>
        <w:footnoteRef/>
        <w:tab/>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ab/>
        <w:t xml:space="preserve">v zmysle Nariadenia Komisie EÚ č. 1407/2013 z 18. decembra 2013 o uplatňovaní článkov 107 a 108 Zmluvy o fungovaní Európskej únie na pomoc </w:t>
      </w:r>
      <w:r>
        <w:rPr>
          <w:rFonts w:eastAsia="Times New Roman" w:cs="Times New Roman" w:ascii="Times New Roman" w:hAnsi="Times New Roman"/>
          <w:i/>
          <w:color w:val="000000"/>
          <w:sz w:val="20"/>
          <w:szCs w:val="20"/>
        </w:rPr>
        <w:t>de minimis</w:t>
      </w:r>
      <w:r>
        <w:rPr>
          <w:rFonts w:eastAsia="Times New Roman" w:cs="Times New Roman" w:ascii="Times New Roman" w:hAnsi="Times New Roman"/>
          <w:color w:val="000000"/>
          <w:sz w:val="20"/>
          <w:szCs w:val="20"/>
        </w:rPr>
        <w:t xml:space="preserve"> (ďalej len „nariadenie </w:t>
      </w:r>
      <w:r>
        <w:rPr>
          <w:rFonts w:eastAsia="Times New Roman" w:cs="Times New Roman" w:ascii="Times New Roman" w:hAnsi="Times New Roman"/>
          <w:i/>
          <w:color w:val="000000"/>
          <w:sz w:val="20"/>
          <w:szCs w:val="20"/>
        </w:rPr>
        <w:t>de minimis</w:t>
      </w:r>
      <w:r>
        <w:rPr>
          <w:rFonts w:eastAsia="Times New Roman" w:cs="Times New Roman" w:ascii="Times New Roman" w:hAnsi="Times New Roman"/>
          <w:color w:val="000000"/>
          <w:sz w:val="20"/>
          <w:szCs w:val="20"/>
        </w:rPr>
        <w:t>“); Ú. v. EÚ L 352, 24.12.2013, s. 1-8.</w:t>
      </w:r>
    </w:p>
  </w:footnote>
  <w:footnote w:id="5">
    <w:p>
      <w:pPr>
        <w:pStyle w:val="Normal"/>
        <w:pBdr/>
        <w:spacing w:lineRule="auto" w:line="240" w:before="0" w:after="0"/>
        <w:ind w:left="284" w:hanging="284"/>
        <w:jc w:val="both"/>
        <w:rPr/>
      </w:pPr>
      <w:r>
        <w:rPr>
          <w:vertAlign w:val="superscript"/>
        </w:rPr>
        <w:footnoteRef/>
        <w:tab/>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ab/>
      </w:r>
      <w:r>
        <w:rPr>
          <w:rFonts w:cs="Times New Roman" w:ascii="Times New Roman" w:hAnsi="Times New Roman"/>
          <w:sz w:val="18"/>
          <w:szCs w:val="18"/>
        </w:rPr>
        <w:t>vzťah</w:t>
      </w:r>
      <w:r>
        <w:rPr>
          <w:rFonts w:cs="Times New Roman" w:ascii="Times New Roman" w:hAnsi="Times New Roman"/>
          <w:sz w:val="18"/>
        </w:rPr>
        <w:t xml:space="preserve"> účastníkov </w:t>
      </w:r>
      <w:r>
        <w:rPr>
          <w:rFonts w:cs="Times New Roman" w:ascii="Times New Roman" w:hAnsi="Times New Roman"/>
          <w:sz w:val="18"/>
          <w:szCs w:val="18"/>
        </w:rPr>
        <w:t xml:space="preserve">- fyzických osôb </w:t>
      </w:r>
      <w:r>
        <w:rPr>
          <w:rFonts w:cs="Times New Roman" w:ascii="Times New Roman" w:hAnsi="Times New Roman"/>
          <w:sz w:val="18"/>
        </w:rPr>
        <w:t>k </w:t>
      </w:r>
      <w:r>
        <w:rPr>
          <w:rFonts w:cs="Times New Roman" w:ascii="Times New Roman" w:hAnsi="Times New Roman"/>
          <w:sz w:val="18"/>
          <w:szCs w:val="18"/>
        </w:rPr>
        <w:t>Žiadateľovi</w:t>
      </w:r>
      <w:r>
        <w:rPr>
          <w:rFonts w:cs="Times New Roman" w:ascii="Times New Roman" w:hAnsi="Times New Roman"/>
          <w:sz w:val="18"/>
        </w:rPr>
        <w:t xml:space="preserve"> je možné preukázať na základe existujúceho pracovnoprávneho vzťahu, majetkovej účasti, </w:t>
      </w:r>
      <w:r>
        <w:rPr>
          <w:rFonts w:cs="Times New Roman" w:ascii="Times New Roman" w:hAnsi="Times New Roman"/>
          <w:sz w:val="18"/>
          <w:szCs w:val="18"/>
        </w:rPr>
        <w:t xml:space="preserve">prípustná forma je taktiež člen štatutárneho orgánu Žiadateľa resp. prokurista </w:t>
      </w:r>
    </w:p>
  </w:footnote>
  <w:footnote w:id="6">
    <w:p>
      <w:pPr>
        <w:pStyle w:val="Normal"/>
        <w:pBdr/>
        <w:spacing w:lineRule="auto" w:line="240" w:before="0" w:after="0"/>
        <w:rPr>
          <w:rFonts w:ascii="Times New Roman" w:hAnsi="Times New Roman" w:eastAsia="Times New Roman" w:cs="Times New Roman"/>
          <w:color w:val="000000"/>
          <w:sz w:val="20"/>
          <w:szCs w:val="20"/>
        </w:rPr>
      </w:pPr>
      <w:r>
        <w:rPr>
          <w:vertAlign w:val="superscript"/>
        </w:rPr>
        <w:footnoteRef/>
        <w:tab/>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písm. c) okrem neregulovaných slobodných povolaní fyzických osôb vykonávajúcich činnosti podľa zákona č. 185/2015 Z. z. Autorský zákon v znení neskorších predpisov</w:t>
      </w:r>
    </w:p>
    <w:p>
      <w:pPr>
        <w:pStyle w:val="Normal"/>
        <w:pBdr/>
        <w:spacing w:lineRule="auto" w:line="240" w:before="0" w:after="0"/>
        <w:rPr/>
      </w:pPr>
      <w:r>
        <w:rPr/>
      </w:r>
    </w:p>
  </w:footnote>
  <w:footnote w:id="7">
    <w:p>
      <w:pPr>
        <w:pStyle w:val="Footnotetext"/>
        <w:ind w:left="142" w:hanging="142"/>
        <w:rPr/>
      </w:pPr>
      <w:r>
        <w:rPr>
          <w:rStyle w:val="Footnotereference"/>
          <w:rFonts w:cs="Times New Roman" w:ascii="Times New Roman" w:hAnsi="Times New Roman"/>
          <w:sz w:val="18"/>
          <w:szCs w:val="18"/>
        </w:rPr>
        <w:footnoteRef/>
        <w:tab/>
      </w:r>
      <w:r>
        <w:rPr>
          <w:rFonts w:cs="Times New Roman" w:ascii="Times New Roman" w:hAnsi="Times New Roman"/>
          <w:sz w:val="18"/>
          <w:szCs w:val="18"/>
        </w:rPr>
        <w:t xml:space="preserve"> </w:t>
      </w:r>
      <w:r>
        <w:rPr>
          <w:rFonts w:cs="Times New Roman" w:ascii="Times New Roman" w:hAnsi="Times New Roman"/>
          <w:sz w:val="18"/>
          <w:szCs w:val="18"/>
        </w:rPr>
        <w:t>V súlade s judikatúrou Súdneho dvora Európskej únie je hospodárskou činnosťou každá činnosť, ktorá spočíva v ponuke tovaru a služieb na trhu.</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Noto Sans Symbols" w:hAnsi="Noto Sans Symbols" w:cs="Noto Sans Symbols" w:hint="default"/>
        <w:sz w:val="24"/>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4">
    <w:lvl w:ilvl="0">
      <w:start w:val="1"/>
      <w:numFmt w:val="bullet"/>
      <w:lvlText w:val="●"/>
      <w:lvlJc w:val="left"/>
      <w:pPr>
        <w:ind w:left="1287" w:hanging="360"/>
      </w:pPr>
      <w:rPr>
        <w:rFonts w:ascii="Noto Sans Symbols" w:hAnsi="Noto Sans Symbols" w:cs="Noto Sans Symbols" w:hint="default"/>
        <w:sz w:val="24"/>
        <w:rFonts w:cs="Noto Sans Symbols"/>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Noto Sans Symbols" w:hAnsi="Noto Sans Symbols" w:cs="Noto Sans Symbols" w:hint="default"/>
        <w:rFonts w:cs="Noto Sans Symbols"/>
      </w:rPr>
    </w:lvl>
    <w:lvl w:ilvl="3">
      <w:start w:val="1"/>
      <w:numFmt w:val="bullet"/>
      <w:lvlText w:val="●"/>
      <w:lvlJc w:val="left"/>
      <w:pPr>
        <w:ind w:left="3447" w:hanging="360"/>
      </w:pPr>
      <w:rPr>
        <w:rFonts w:ascii="Noto Sans Symbols" w:hAnsi="Noto Sans Symbols" w:cs="Noto Sans Symbols" w:hint="default"/>
        <w:rFonts w:cs="Noto Sans Symbols"/>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Noto Sans Symbols" w:hAnsi="Noto Sans Symbols" w:cs="Noto Sans Symbols" w:hint="default"/>
        <w:rFonts w:cs="Noto Sans Symbols"/>
      </w:rPr>
    </w:lvl>
    <w:lvl w:ilvl="6">
      <w:start w:val="1"/>
      <w:numFmt w:val="bullet"/>
      <w:lvlText w:val="●"/>
      <w:lvlJc w:val="left"/>
      <w:pPr>
        <w:ind w:left="5607" w:hanging="360"/>
      </w:pPr>
      <w:rPr>
        <w:rFonts w:ascii="Noto Sans Symbols" w:hAnsi="Noto Sans Symbols" w:cs="Noto Sans Symbols" w:hint="default"/>
        <w:rFonts w:cs="Noto Sans Symbols"/>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Noto Sans Symbols" w:hAnsi="Noto Sans Symbols" w:cs="Noto Sans Symbols" w:hint="default"/>
        <w:rFonts w:cs="Noto Sans Symbols"/>
      </w:rPr>
    </w:lvl>
  </w:abstractNum>
  <w:abstractNum w:abstractNumId="5">
    <w:lvl w:ilvl="0">
      <w:start w:val="1"/>
      <w:numFmt w:val="bullet"/>
      <w:lvlText w:val="●"/>
      <w:lvlJc w:val="left"/>
      <w:pPr>
        <w:ind w:left="720" w:hanging="360"/>
      </w:pPr>
      <w:rPr>
        <w:rFonts w:ascii="Noto Sans Symbols" w:hAnsi="Noto Sans Symbols" w:cs="Noto Sans Symbols" w:hint="default"/>
        <w:sz w:val="24"/>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6">
    <w:lvl w:ilvl="0">
      <w:start w:val="1"/>
      <w:numFmt w:val="bullet"/>
      <w:lvlText w:val="●"/>
      <w:lvlJc w:val="left"/>
      <w:pPr>
        <w:ind w:left="720" w:hanging="360"/>
      </w:pPr>
      <w:rPr>
        <w:rFonts w:ascii="Noto Sans Symbols" w:hAnsi="Noto Sans Symbols" w:cs="Noto Sans Symbols" w:hint="default"/>
        <w:sz w:val="24"/>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7">
    <w:lvl w:ilvl="0">
      <w:start w:val="1"/>
      <w:numFmt w:val="bullet"/>
      <w:lvlText w:val="●"/>
      <w:lvlJc w:val="left"/>
      <w:pPr>
        <w:ind w:left="720" w:hanging="360"/>
      </w:pPr>
      <w:rPr>
        <w:rFonts w:ascii="Noto Sans Symbols" w:hAnsi="Noto Sans Symbols" w:cs="Noto Sans Symbols" w:hint="default"/>
        <w:sz w:val="24"/>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bullet"/>
      <w:lvlText w:val="●"/>
      <w:lvlJc w:val="left"/>
      <w:pPr>
        <w:ind w:left="720" w:hanging="360"/>
      </w:pPr>
      <w:rPr>
        <w:rFonts w:ascii="Noto Sans Symbols" w:hAnsi="Noto Sans Symbols" w:cs="Noto Sans Symbols" w:hint="default"/>
        <w:sz w:val="24"/>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sk-SK" w:eastAsia="sk-SK"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4" w:before="0" w:after="160"/>
      <w:jc w:val="left"/>
    </w:pPr>
    <w:rPr>
      <w:rFonts w:ascii="Calibri" w:hAnsi="Calibri" w:eastAsia="Calibri" w:cs="Calibri"/>
      <w:color w:val="auto"/>
      <w:kern w:val="0"/>
      <w:sz w:val="22"/>
      <w:szCs w:val="22"/>
      <w:lang w:val="sk-SK" w:eastAsia="sk-SK" w:bidi="ar-SA"/>
    </w:rPr>
  </w:style>
  <w:style w:type="paragraph" w:styleId="Nadpis1">
    <w:name w:val="Heading 1"/>
    <w:basedOn w:val="Normal"/>
    <w:qFormat/>
    <w:pPr>
      <w:keepNext w:val="true"/>
      <w:keepLines/>
      <w:spacing w:before="480" w:after="120"/>
      <w:outlineLvl w:val="0"/>
    </w:pPr>
    <w:rPr>
      <w:b/>
      <w:sz w:val="48"/>
      <w:szCs w:val="48"/>
    </w:rPr>
  </w:style>
  <w:style w:type="paragraph" w:styleId="Nadpis2">
    <w:name w:val="Heading 2"/>
    <w:basedOn w:val="Normal"/>
    <w:qFormat/>
    <w:pPr>
      <w:keepNext w:val="true"/>
      <w:keepLines/>
      <w:spacing w:before="360" w:after="80"/>
      <w:outlineLvl w:val="1"/>
    </w:pPr>
    <w:rPr>
      <w:b/>
      <w:sz w:val="36"/>
      <w:szCs w:val="36"/>
    </w:rPr>
  </w:style>
  <w:style w:type="paragraph" w:styleId="Nadpis3">
    <w:name w:val="Heading 3"/>
    <w:basedOn w:val="Normal"/>
    <w:qFormat/>
    <w:pPr>
      <w:keepNext w:val="true"/>
      <w:keepLines/>
      <w:spacing w:before="280" w:after="80"/>
      <w:outlineLvl w:val="2"/>
    </w:pPr>
    <w:rPr>
      <w:b/>
      <w:sz w:val="28"/>
      <w:szCs w:val="28"/>
    </w:rPr>
  </w:style>
  <w:style w:type="paragraph" w:styleId="Nadpis4">
    <w:name w:val="Heading 4"/>
    <w:basedOn w:val="Normal"/>
    <w:qFormat/>
    <w:pPr>
      <w:keepNext w:val="true"/>
      <w:keepLines/>
      <w:spacing w:before="240" w:after="40"/>
      <w:outlineLvl w:val="3"/>
    </w:pPr>
    <w:rPr>
      <w:b/>
      <w:sz w:val="24"/>
      <w:szCs w:val="24"/>
    </w:rPr>
  </w:style>
  <w:style w:type="paragraph" w:styleId="Nadpis5">
    <w:name w:val="Heading 5"/>
    <w:basedOn w:val="Normal"/>
    <w:qFormat/>
    <w:pPr>
      <w:keepNext w:val="true"/>
      <w:keepLines/>
      <w:spacing w:before="220" w:after="40"/>
      <w:outlineLvl w:val="4"/>
    </w:pPr>
    <w:rPr>
      <w:b/>
    </w:rPr>
  </w:style>
  <w:style w:type="paragraph" w:styleId="Nadpis6">
    <w:name w:val="Heading 6"/>
    <w:basedOn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114e61"/>
    <w:rPr>
      <w:rFonts w:ascii="Segoe UI" w:hAnsi="Segoe UI" w:cs="Segoe UI"/>
      <w:sz w:val="18"/>
      <w:szCs w:val="18"/>
    </w:rPr>
  </w:style>
  <w:style w:type="character" w:styleId="TextpoznmkypodiarouChar" w:customStyle="1">
    <w:name w:val="Text poznámky pod čiarou Char"/>
    <w:basedOn w:val="DefaultParagraphFont"/>
    <w:link w:val="Textpoznmkypodiarou"/>
    <w:uiPriority w:val="99"/>
    <w:semiHidden/>
    <w:qFormat/>
    <w:rsid w:val="00114e61"/>
    <w:rPr>
      <w:rFonts w:ascii="Cambria" w:hAnsi="Cambria" w:eastAsia="Cambria" w:cs="" w:asciiTheme="minorHAnsi" w:cstheme="minorBidi" w:eastAsiaTheme="minorHAnsi" w:hAnsiTheme="minorHAnsi"/>
      <w:sz w:val="20"/>
      <w:szCs w:val="20"/>
      <w:lang w:eastAsia="en-US"/>
    </w:rPr>
  </w:style>
  <w:style w:type="character" w:styleId="Footnotereference">
    <w:name w:val="footnote reference"/>
    <w:basedOn w:val="DefaultParagraphFont"/>
    <w:uiPriority w:val="99"/>
    <w:semiHidden/>
    <w:unhideWhenUsed/>
    <w:qFormat/>
    <w:rsid w:val="00114e61"/>
    <w:rPr>
      <w:vertAlign w:val="superscript"/>
    </w:rPr>
  </w:style>
  <w:style w:type="character" w:styleId="OdsekzoznamuChar" w:customStyle="1">
    <w:name w:val="Odsek zoznamu Char"/>
    <w:basedOn w:val="DefaultParagraphFont"/>
    <w:link w:val="Odsekzoznamu"/>
    <w:uiPriority w:val="99"/>
    <w:qFormat/>
    <w:locked/>
    <w:rsid w:val="00114e61"/>
    <w:rPr>
      <w:rFonts w:ascii="Cambria" w:hAnsi="Cambria" w:eastAsia="Cambria" w:cs="" w:asciiTheme="minorHAnsi" w:cstheme="minorBidi" w:eastAsiaTheme="minorHAnsi" w:hAnsiTheme="minorHAnsi"/>
      <w:lang w:eastAsia="en-US"/>
    </w:rPr>
  </w:style>
  <w:style w:type="character" w:styleId="Annotationreference">
    <w:name w:val="annotation reference"/>
    <w:basedOn w:val="DefaultParagraphFont"/>
    <w:uiPriority w:val="99"/>
    <w:semiHidden/>
    <w:unhideWhenUsed/>
    <w:qFormat/>
    <w:rsid w:val="00b70543"/>
    <w:rPr>
      <w:sz w:val="16"/>
      <w:szCs w:val="16"/>
    </w:rPr>
  </w:style>
  <w:style w:type="character" w:styleId="TextkomentraChar" w:customStyle="1">
    <w:name w:val="Text komentára Char"/>
    <w:basedOn w:val="DefaultParagraphFont"/>
    <w:link w:val="Textkomentra"/>
    <w:uiPriority w:val="99"/>
    <w:qFormat/>
    <w:rsid w:val="00b70543"/>
    <w:rPr>
      <w:sz w:val="20"/>
      <w:szCs w:val="20"/>
    </w:rPr>
  </w:style>
  <w:style w:type="character" w:styleId="PredmetkomentraChar" w:customStyle="1">
    <w:name w:val="Predmet komentára Char"/>
    <w:basedOn w:val="TextkomentraChar"/>
    <w:link w:val="Predmetkomentra"/>
    <w:uiPriority w:val="99"/>
    <w:semiHidden/>
    <w:qFormat/>
    <w:rsid w:val="00b70543"/>
    <w:rPr>
      <w:b/>
      <w:bCs/>
      <w:sz w:val="20"/>
      <w:szCs w:val="20"/>
    </w:rPr>
  </w:style>
  <w:style w:type="character" w:styleId="Internetovodkaz">
    <w:name w:val="Internetový odkaz"/>
    <w:basedOn w:val="DefaultParagraphFont"/>
    <w:uiPriority w:val="99"/>
    <w:unhideWhenUsed/>
    <w:rsid w:val="00062d3e"/>
    <w:rPr>
      <w:color w:val="0000FF"/>
      <w:u w:val="single"/>
    </w:rPr>
  </w:style>
  <w:style w:type="character" w:styleId="Nevyrieenzmienka1" w:customStyle="1">
    <w:name w:val="Nevyriešená zmienka1"/>
    <w:basedOn w:val="DefaultParagraphFont"/>
    <w:uiPriority w:val="99"/>
    <w:semiHidden/>
    <w:unhideWhenUsed/>
    <w:qFormat/>
    <w:rsid w:val="00e7679f"/>
    <w:rPr>
      <w:color w:val="808080"/>
      <w:shd w:fill="E6E6E6" w:val="clear"/>
    </w:rPr>
  </w:style>
  <w:style w:type="character" w:styleId="FollowedHyperlink">
    <w:name w:val="FollowedHyperlink"/>
    <w:basedOn w:val="DefaultParagraphFont"/>
    <w:uiPriority w:val="99"/>
    <w:semiHidden/>
    <w:unhideWhenUsed/>
    <w:qFormat/>
    <w:rsid w:val="00e7679f"/>
    <w:rPr>
      <w:color w:val="800080" w:themeColor="followedHyperlink"/>
      <w:u w:val="single"/>
    </w:rPr>
  </w:style>
  <w:style w:type="character" w:styleId="ListLabel1">
    <w:name w:val="ListLabel 1"/>
    <w:qFormat/>
    <w:rPr>
      <w:rFonts w:ascii="Times New Roman" w:hAnsi="Times New Roman"/>
      <w:b/>
      <w:sz w:val="24"/>
    </w:rPr>
  </w:style>
  <w:style w:type="character" w:styleId="ListLabel2">
    <w:name w:val="ListLabel 2"/>
    <w:qFormat/>
    <w:rPr>
      <w:rFonts w:ascii="Times New Roman" w:hAnsi="Times New Roman" w:eastAsia="Noto Sans Symbols" w:cs="Noto Sans Symbols"/>
      <w:sz w:val="24"/>
      <w:szCs w:val="20"/>
    </w:rPr>
  </w:style>
  <w:style w:type="character" w:styleId="ListLabel3">
    <w:name w:val="ListLabel 3"/>
    <w:qFormat/>
    <w:rPr>
      <w:rFonts w:eastAsia="Courier New" w:cs="Courier New"/>
      <w:sz w:val="20"/>
      <w:szCs w:val="20"/>
    </w:rPr>
  </w:style>
  <w:style w:type="character" w:styleId="ListLabel4">
    <w:name w:val="ListLabel 4"/>
    <w:qFormat/>
    <w:rPr>
      <w:rFonts w:eastAsia="Noto Sans Symbols" w:cs="Noto Sans Symbols"/>
      <w:sz w:val="20"/>
      <w:szCs w:val="20"/>
    </w:rPr>
  </w:style>
  <w:style w:type="character" w:styleId="ListLabel5">
    <w:name w:val="ListLabel 5"/>
    <w:qFormat/>
    <w:rPr>
      <w:rFonts w:eastAsia="Noto Sans Symbols" w:cs="Noto Sans Symbols"/>
      <w:sz w:val="20"/>
      <w:szCs w:val="20"/>
    </w:rPr>
  </w:style>
  <w:style w:type="character" w:styleId="ListLabel6">
    <w:name w:val="ListLabel 6"/>
    <w:qFormat/>
    <w:rPr>
      <w:rFonts w:eastAsia="Noto Sans Symbols" w:cs="Noto Sans Symbols"/>
      <w:sz w:val="20"/>
      <w:szCs w:val="20"/>
    </w:rPr>
  </w:style>
  <w:style w:type="character" w:styleId="ListLabel7">
    <w:name w:val="ListLabel 7"/>
    <w:qFormat/>
    <w:rPr>
      <w:rFonts w:eastAsia="Noto Sans Symbols" w:cs="Noto Sans Symbols"/>
      <w:sz w:val="20"/>
      <w:szCs w:val="20"/>
    </w:rPr>
  </w:style>
  <w:style w:type="character" w:styleId="ListLabel8">
    <w:name w:val="ListLabel 8"/>
    <w:qFormat/>
    <w:rPr>
      <w:rFonts w:eastAsia="Noto Sans Symbols" w:cs="Noto Sans Symbols"/>
      <w:sz w:val="20"/>
      <w:szCs w:val="20"/>
    </w:rPr>
  </w:style>
  <w:style w:type="character" w:styleId="ListLabel9">
    <w:name w:val="ListLabel 9"/>
    <w:qFormat/>
    <w:rPr>
      <w:rFonts w:eastAsia="Noto Sans Symbols" w:cs="Noto Sans Symbols"/>
      <w:sz w:val="20"/>
      <w:szCs w:val="20"/>
    </w:rPr>
  </w:style>
  <w:style w:type="character" w:styleId="ListLabel10">
    <w:name w:val="ListLabel 10"/>
    <w:qFormat/>
    <w:rPr>
      <w:rFonts w:eastAsia="Noto Sans Symbols" w:cs="Noto Sans Symbols"/>
      <w:sz w:val="20"/>
      <w:szCs w:val="20"/>
    </w:rPr>
  </w:style>
  <w:style w:type="character" w:styleId="ListLabel11">
    <w:name w:val="ListLabel 11"/>
    <w:qFormat/>
    <w:rPr>
      <w:rFonts w:ascii="Times New Roman" w:hAnsi="Times New Roman" w:eastAsia="Noto Sans Symbols" w:cs="Noto Sans Symbols"/>
      <w:sz w:val="24"/>
    </w:rPr>
  </w:style>
  <w:style w:type="character" w:styleId="ListLabel12">
    <w:name w:val="ListLabel 12"/>
    <w:qFormat/>
    <w:rPr>
      <w:rFonts w:eastAsia="Courier New" w:cs="Courier New"/>
    </w:rPr>
  </w:style>
  <w:style w:type="character" w:styleId="ListLabel13">
    <w:name w:val="ListLabel 13"/>
    <w:qFormat/>
    <w:rPr>
      <w:rFonts w:eastAsia="Noto Sans Symbols" w:cs="Noto Sans Symbols"/>
    </w:rPr>
  </w:style>
  <w:style w:type="character" w:styleId="ListLabel14">
    <w:name w:val="ListLabel 14"/>
    <w:qFormat/>
    <w:rPr>
      <w:rFonts w:eastAsia="Noto Sans Symbols" w:cs="Noto Sans Symbols"/>
    </w:rPr>
  </w:style>
  <w:style w:type="character" w:styleId="ListLabel15">
    <w:name w:val="ListLabel 15"/>
    <w:qFormat/>
    <w:rPr>
      <w:rFonts w:eastAsia="Courier New" w:cs="Courier New"/>
    </w:rPr>
  </w:style>
  <w:style w:type="character" w:styleId="ListLabel16">
    <w:name w:val="ListLabel 16"/>
    <w:qFormat/>
    <w:rPr>
      <w:rFonts w:eastAsia="Noto Sans Symbols" w:cs="Noto Sans Symbols"/>
    </w:rPr>
  </w:style>
  <w:style w:type="character" w:styleId="ListLabel17">
    <w:name w:val="ListLabel 17"/>
    <w:qFormat/>
    <w:rPr>
      <w:rFonts w:eastAsia="Noto Sans Symbols" w:cs="Noto Sans Symbols"/>
    </w:rPr>
  </w:style>
  <w:style w:type="character" w:styleId="ListLabel18">
    <w:name w:val="ListLabel 18"/>
    <w:qFormat/>
    <w:rPr>
      <w:rFonts w:eastAsia="Courier New" w:cs="Courier New"/>
    </w:rPr>
  </w:style>
  <w:style w:type="character" w:styleId="ListLabel19">
    <w:name w:val="ListLabel 19"/>
    <w:qFormat/>
    <w:rPr>
      <w:rFonts w:eastAsia="Noto Sans Symbols" w:cs="Noto Sans Symbols"/>
    </w:rPr>
  </w:style>
  <w:style w:type="character" w:styleId="ListLabel20">
    <w:name w:val="ListLabel 20"/>
    <w:qFormat/>
    <w:rPr>
      <w:rFonts w:eastAsia="Noto Sans Symbols" w:cs="Noto Sans Symbols"/>
      <w:sz w:val="24"/>
    </w:rPr>
  </w:style>
  <w:style w:type="character" w:styleId="ListLabel21">
    <w:name w:val="ListLabel 21"/>
    <w:qFormat/>
    <w:rPr>
      <w:rFonts w:eastAsia="Courier New" w:cs="Courier New"/>
    </w:rPr>
  </w:style>
  <w:style w:type="character" w:styleId="ListLabel22">
    <w:name w:val="ListLabel 22"/>
    <w:qFormat/>
    <w:rPr>
      <w:rFonts w:eastAsia="Noto Sans Symbols" w:cs="Noto Sans Symbols"/>
    </w:rPr>
  </w:style>
  <w:style w:type="character" w:styleId="ListLabel23">
    <w:name w:val="ListLabel 23"/>
    <w:qFormat/>
    <w:rPr>
      <w:rFonts w:eastAsia="Noto Sans Symbols" w:cs="Noto Sans Symbols"/>
    </w:rPr>
  </w:style>
  <w:style w:type="character" w:styleId="ListLabel24">
    <w:name w:val="ListLabel 24"/>
    <w:qFormat/>
    <w:rPr>
      <w:rFonts w:eastAsia="Courier New" w:cs="Courier New"/>
    </w:rPr>
  </w:style>
  <w:style w:type="character" w:styleId="ListLabel25">
    <w:name w:val="ListLabel 25"/>
    <w:qFormat/>
    <w:rPr>
      <w:rFonts w:eastAsia="Noto Sans Symbols" w:cs="Noto Sans Symbols"/>
    </w:rPr>
  </w:style>
  <w:style w:type="character" w:styleId="ListLabel26">
    <w:name w:val="ListLabel 26"/>
    <w:qFormat/>
    <w:rPr>
      <w:rFonts w:eastAsia="Noto Sans Symbols" w:cs="Noto Sans Symbols"/>
    </w:rPr>
  </w:style>
  <w:style w:type="character" w:styleId="ListLabel27">
    <w:name w:val="ListLabel 27"/>
    <w:qFormat/>
    <w:rPr>
      <w:rFonts w:eastAsia="Courier New" w:cs="Courier New"/>
    </w:rPr>
  </w:style>
  <w:style w:type="character" w:styleId="ListLabel28">
    <w:name w:val="ListLabel 28"/>
    <w:qFormat/>
    <w:rPr>
      <w:rFonts w:eastAsia="Noto Sans Symbols" w:cs="Noto Sans Symbols"/>
    </w:rPr>
  </w:style>
  <w:style w:type="character" w:styleId="ListLabel29">
    <w:name w:val="ListLabel 29"/>
    <w:qFormat/>
    <w:rPr>
      <w:rFonts w:eastAsia="Noto Sans Symbols" w:cs="Noto Sans Symbols"/>
      <w:sz w:val="24"/>
    </w:rPr>
  </w:style>
  <w:style w:type="character" w:styleId="ListLabel30">
    <w:name w:val="ListLabel 30"/>
    <w:qFormat/>
    <w:rPr>
      <w:rFonts w:eastAsia="Courier New" w:cs="Courier New"/>
    </w:rPr>
  </w:style>
  <w:style w:type="character" w:styleId="ListLabel31">
    <w:name w:val="ListLabel 31"/>
    <w:qFormat/>
    <w:rPr>
      <w:rFonts w:eastAsia="Noto Sans Symbols" w:cs="Noto Sans Symbols"/>
    </w:rPr>
  </w:style>
  <w:style w:type="character" w:styleId="ListLabel32">
    <w:name w:val="ListLabel 32"/>
    <w:qFormat/>
    <w:rPr>
      <w:rFonts w:eastAsia="Noto Sans Symbols" w:cs="Noto Sans Symbols"/>
    </w:rPr>
  </w:style>
  <w:style w:type="character" w:styleId="ListLabel33">
    <w:name w:val="ListLabel 33"/>
    <w:qFormat/>
    <w:rPr>
      <w:rFonts w:eastAsia="Courier New" w:cs="Courier New"/>
    </w:rPr>
  </w:style>
  <w:style w:type="character" w:styleId="ListLabel34">
    <w:name w:val="ListLabel 34"/>
    <w:qFormat/>
    <w:rPr>
      <w:rFonts w:eastAsia="Noto Sans Symbols" w:cs="Noto Sans Symbols"/>
    </w:rPr>
  </w:style>
  <w:style w:type="character" w:styleId="ListLabel35">
    <w:name w:val="ListLabel 35"/>
    <w:qFormat/>
    <w:rPr>
      <w:rFonts w:eastAsia="Noto Sans Symbols" w:cs="Noto Sans Symbols"/>
    </w:rPr>
  </w:style>
  <w:style w:type="character" w:styleId="ListLabel36">
    <w:name w:val="ListLabel 36"/>
    <w:qFormat/>
    <w:rPr>
      <w:rFonts w:eastAsia="Courier New" w:cs="Courier New"/>
    </w:rPr>
  </w:style>
  <w:style w:type="character" w:styleId="ListLabel37">
    <w:name w:val="ListLabel 37"/>
    <w:qFormat/>
    <w:rPr>
      <w:rFonts w:eastAsia="Noto Sans Symbols" w:cs="Noto Sans Symbols"/>
    </w:rPr>
  </w:style>
  <w:style w:type="character" w:styleId="ListLabel38">
    <w:name w:val="ListLabel 38"/>
    <w:qFormat/>
    <w:rPr>
      <w:rFonts w:eastAsia="Noto Sans Symbols" w:cs="Noto Sans Symbols"/>
      <w:sz w:val="24"/>
    </w:rPr>
  </w:style>
  <w:style w:type="character" w:styleId="ListLabel39">
    <w:name w:val="ListLabel 39"/>
    <w:qFormat/>
    <w:rPr>
      <w:rFonts w:eastAsia="Courier New" w:cs="Courier New"/>
    </w:rPr>
  </w:style>
  <w:style w:type="character" w:styleId="ListLabel40">
    <w:name w:val="ListLabel 40"/>
    <w:qFormat/>
    <w:rPr>
      <w:rFonts w:eastAsia="Noto Sans Symbols" w:cs="Noto Sans Symbols"/>
    </w:rPr>
  </w:style>
  <w:style w:type="character" w:styleId="ListLabel41">
    <w:name w:val="ListLabel 41"/>
    <w:qFormat/>
    <w:rPr>
      <w:rFonts w:eastAsia="Noto Sans Symbols" w:cs="Noto Sans Symbols"/>
    </w:rPr>
  </w:style>
  <w:style w:type="character" w:styleId="ListLabel42">
    <w:name w:val="ListLabel 42"/>
    <w:qFormat/>
    <w:rPr>
      <w:rFonts w:eastAsia="Courier New" w:cs="Courier New"/>
    </w:rPr>
  </w:style>
  <w:style w:type="character" w:styleId="ListLabel43">
    <w:name w:val="ListLabel 43"/>
    <w:qFormat/>
    <w:rPr>
      <w:rFonts w:eastAsia="Noto Sans Symbols" w:cs="Noto Sans Symbols"/>
    </w:rPr>
  </w:style>
  <w:style w:type="character" w:styleId="ListLabel44">
    <w:name w:val="ListLabel 44"/>
    <w:qFormat/>
    <w:rPr>
      <w:rFonts w:eastAsia="Noto Sans Symbols" w:cs="Noto Sans Symbols"/>
    </w:rPr>
  </w:style>
  <w:style w:type="character" w:styleId="ListLabel45">
    <w:name w:val="ListLabel 45"/>
    <w:qFormat/>
    <w:rPr>
      <w:rFonts w:eastAsia="Courier New" w:cs="Courier New"/>
    </w:rPr>
  </w:style>
  <w:style w:type="character" w:styleId="ListLabel46">
    <w:name w:val="ListLabel 46"/>
    <w:qFormat/>
    <w:rPr>
      <w:rFonts w:eastAsia="Noto Sans Symbols" w:cs="Noto Sans Symbols"/>
    </w:rPr>
  </w:style>
  <w:style w:type="character" w:styleId="ListLabel47">
    <w:name w:val="ListLabel 47"/>
    <w:qFormat/>
    <w:rPr>
      <w:rFonts w:eastAsia="Noto Sans Symbols" w:cs="Noto Sans Symbols"/>
      <w:sz w:val="24"/>
    </w:rPr>
  </w:style>
  <w:style w:type="character" w:styleId="ListLabel48">
    <w:name w:val="ListLabel 48"/>
    <w:qFormat/>
    <w:rPr>
      <w:rFonts w:eastAsia="Courier New" w:cs="Courier New"/>
    </w:rPr>
  </w:style>
  <w:style w:type="character" w:styleId="ListLabel49">
    <w:name w:val="ListLabel 49"/>
    <w:qFormat/>
    <w:rPr>
      <w:rFonts w:eastAsia="Noto Sans Symbols" w:cs="Noto Sans Symbols"/>
    </w:rPr>
  </w:style>
  <w:style w:type="character" w:styleId="ListLabel50">
    <w:name w:val="ListLabel 50"/>
    <w:qFormat/>
    <w:rPr>
      <w:rFonts w:eastAsia="Noto Sans Symbols" w:cs="Noto Sans Symbols"/>
    </w:rPr>
  </w:style>
  <w:style w:type="character" w:styleId="ListLabel51">
    <w:name w:val="ListLabel 51"/>
    <w:qFormat/>
    <w:rPr>
      <w:rFonts w:eastAsia="Courier New" w:cs="Courier New"/>
    </w:rPr>
  </w:style>
  <w:style w:type="character" w:styleId="ListLabel52">
    <w:name w:val="ListLabel 52"/>
    <w:qFormat/>
    <w:rPr>
      <w:rFonts w:eastAsia="Noto Sans Symbols" w:cs="Noto Sans Symbols"/>
    </w:rPr>
  </w:style>
  <w:style w:type="character" w:styleId="ListLabel53">
    <w:name w:val="ListLabel 53"/>
    <w:qFormat/>
    <w:rPr>
      <w:rFonts w:eastAsia="Noto Sans Symbols" w:cs="Noto Sans Symbols"/>
    </w:rPr>
  </w:style>
  <w:style w:type="character" w:styleId="ListLabel54">
    <w:name w:val="ListLabel 54"/>
    <w:qFormat/>
    <w:rPr>
      <w:rFonts w:eastAsia="Courier New" w:cs="Courier New"/>
    </w:rPr>
  </w:style>
  <w:style w:type="character" w:styleId="ListLabel55">
    <w:name w:val="ListLabel 55"/>
    <w:qFormat/>
    <w:rPr>
      <w:rFonts w:eastAsia="Noto Sans Symbols" w:cs="Noto Sans Symbols"/>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sz w:val="20"/>
    </w:rPr>
  </w:style>
  <w:style w:type="character" w:styleId="ListLabel60">
    <w:name w:val="ListLabel 60"/>
    <w:qFormat/>
    <w:rPr>
      <w:rFonts w:cs="Times New Roman"/>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Znakyprepoznmkupodiarou">
    <w:name w:val="Znaky pre poznámku pod čiarou"/>
    <w:qFormat/>
    <w:rPr/>
  </w:style>
  <w:style w:type="character" w:styleId="Ukotveniepoznmkypodiarou">
    <w:name w:val="Ukotvenie poznámky pod čiarou"/>
    <w:rPr>
      <w:vertAlign w:val="superscript"/>
    </w:rPr>
  </w:style>
  <w:style w:type="character" w:styleId="Navtveninternetovodkaz">
    <w:name w:val="Navštívený internetový odkaz"/>
    <w:rPr>
      <w:color w:val="800000"/>
      <w:u w:val="single"/>
      <w:lang w:val="zxx" w:eastAsia="zxx" w:bidi="zxx"/>
    </w:rPr>
  </w:style>
  <w:style w:type="character" w:styleId="Ukotveniekoncovejpoznmky">
    <w:name w:val="Ukotvenie koncovej poznámky"/>
    <w:rPr>
      <w:vertAlign w:val="superscript"/>
    </w:rPr>
  </w:style>
  <w:style w:type="character" w:styleId="Znakyprekoncovpoznmku">
    <w:name w:val="Znaky pre koncovú poznámku"/>
    <w:qFormat/>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zov">
    <w:name w:val="Title"/>
    <w:basedOn w:val="Normal"/>
    <w:qFormat/>
    <w:pPr>
      <w:keepNext w:val="true"/>
      <w:keepLines/>
      <w:spacing w:before="480" w:after="120"/>
    </w:pPr>
    <w:rPr>
      <w:b/>
      <w:sz w:val="72"/>
      <w:szCs w:val="72"/>
    </w:rPr>
  </w:style>
  <w:style w:type="paragraph" w:styleId="Podnadpis">
    <w:name w:val="Subtitle"/>
    <w:basedOn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bublinyChar"/>
    <w:uiPriority w:val="99"/>
    <w:semiHidden/>
    <w:unhideWhenUsed/>
    <w:qFormat/>
    <w:rsid w:val="00114e61"/>
    <w:pPr>
      <w:spacing w:lineRule="auto" w:line="240" w:before="0" w:after="0"/>
    </w:pPr>
    <w:rPr>
      <w:rFonts w:ascii="Segoe UI" w:hAnsi="Segoe UI" w:cs="Segoe UI"/>
      <w:sz w:val="18"/>
      <w:szCs w:val="18"/>
    </w:rPr>
  </w:style>
  <w:style w:type="paragraph" w:styleId="ListParagraph">
    <w:name w:val="List Paragraph"/>
    <w:basedOn w:val="Normal"/>
    <w:link w:val="OdsekzoznamuChar"/>
    <w:uiPriority w:val="34"/>
    <w:qFormat/>
    <w:rsid w:val="00114e61"/>
    <w:pPr>
      <w:spacing w:before="0" w:after="160"/>
      <w:ind w:left="720" w:hanging="0"/>
      <w:contextualSpacing/>
    </w:pPr>
    <w:rPr>
      <w:rFonts w:ascii="Cambria" w:hAnsi="Cambria" w:eastAsia="Cambria" w:cs="" w:asciiTheme="minorHAnsi" w:cstheme="minorBidi" w:eastAsiaTheme="minorHAnsi" w:hAnsiTheme="minorHAnsi"/>
      <w:lang w:eastAsia="en-US"/>
    </w:rPr>
  </w:style>
  <w:style w:type="paragraph" w:styleId="Footnotetext">
    <w:name w:val="footnote text"/>
    <w:basedOn w:val="Normal"/>
    <w:link w:val="TextpoznmkypodiarouChar"/>
    <w:uiPriority w:val="99"/>
    <w:semiHidden/>
    <w:unhideWhenUsed/>
    <w:qFormat/>
    <w:rsid w:val="00114e61"/>
    <w:pPr>
      <w:spacing w:lineRule="auto" w:line="240" w:before="0" w:after="0"/>
    </w:pPr>
    <w:rPr>
      <w:rFonts w:ascii="Cambria" w:hAnsi="Cambria" w:eastAsia="Cambria" w:cs="" w:asciiTheme="minorHAnsi" w:cstheme="minorBidi" w:eastAsiaTheme="minorHAnsi" w:hAnsiTheme="minorHAnsi"/>
      <w:sz w:val="20"/>
      <w:szCs w:val="20"/>
      <w:lang w:eastAsia="en-US"/>
    </w:rPr>
  </w:style>
  <w:style w:type="paragraph" w:styleId="Annotationtext">
    <w:name w:val="annotation text"/>
    <w:basedOn w:val="Normal"/>
    <w:link w:val="TextkomentraChar"/>
    <w:uiPriority w:val="99"/>
    <w:semiHidden/>
    <w:unhideWhenUsed/>
    <w:qFormat/>
    <w:rsid w:val="00b70543"/>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b70543"/>
    <w:pPr/>
    <w:rPr>
      <w:b/>
      <w:bCs/>
    </w:rPr>
  </w:style>
  <w:style w:type="paragraph" w:styleId="Poznmkapodiarou">
    <w:name w:val="Footnote Text"/>
    <w:basedOn w:val="Normal"/>
    <w:pPr/>
    <w:rPr/>
  </w:style>
  <w:style w:type="paragraph" w:styleId="Pta">
    <w:name w:val="Footer"/>
    <w:basedOn w:val="Normal"/>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bagency.sk/sites/default/files/implementacny_manual.docx" TargetMode="External"/><Relationship Id="rId4" Type="http://schemas.openxmlformats.org/officeDocument/2006/relationships/hyperlink" Target="https://docs.google.com/forms/d/e/1FAIpQLSf1UgKql9nbQ5UucygWrImu93XEtJxq6h6eElp9GAUZ1TcaJg/viewform?usp=sf_link" TargetMode="External"/><Relationship Id="rId5" Type="http://schemas.openxmlformats.org/officeDocument/2006/relationships/hyperlink" Target="http://www.sbagency.sk/sites/default/files/pictures/schema_na_podporu_maleho_a_stredneho_podnikania_v_sr.pdf" TargetMode="External"/><Relationship Id="rId6" Type="http://schemas.openxmlformats.org/officeDocument/2006/relationships/hyperlink" Target="http://www.sbagency.sk/" TargetMode="External"/><Relationship Id="rId7" Type="http://schemas.openxmlformats.org/officeDocument/2006/relationships/hyperlink" Target="http://www.statnapomoc.sk/wp-content/uploads/2015/12/Zakon-c-358-2015.pdf" TargetMode="External"/><Relationship Id="rId8" Type="http://schemas.openxmlformats.org/officeDocument/2006/relationships/hyperlink" Target="http://www.statnapomoc.sk/" TargetMode="External"/><Relationship Id="rId9" Type="http://schemas.openxmlformats.org/officeDocument/2006/relationships/hyperlink" Target="http://www.npc.sk/sk/podpora-pri-podnikani/rastovy-program" TargetMode="External"/><Relationship Id="rId10" Type="http://schemas.openxmlformats.org/officeDocument/2006/relationships/hyperlink" Target="https://policies.google.com/privacy" TargetMode="External"/><Relationship Id="rId11" Type="http://schemas.openxmlformats.org/officeDocument/2006/relationships/hyperlink" Target="mailto:sp.bb@npc.sk" TargetMode="External"/><Relationship Id="rId12" Type="http://schemas.openxmlformats.org/officeDocument/2006/relationships/hyperlink" Target="mailto:sp.ke@npc.sk" TargetMode="External"/><Relationship Id="rId13" Type="http://schemas.openxmlformats.org/officeDocument/2006/relationships/hyperlink" Target="mailto:sp.nr@npc.sk" TargetMode="External"/><Relationship Id="rId14" Type="http://schemas.openxmlformats.org/officeDocument/2006/relationships/hyperlink" Target="mailto:sp.po@npc.sk" TargetMode="External"/><Relationship Id="rId15" Type="http://schemas.openxmlformats.org/officeDocument/2006/relationships/hyperlink" Target="mailto:sp.tn@npc.sk" TargetMode="External"/><Relationship Id="rId16" Type="http://schemas.openxmlformats.org/officeDocument/2006/relationships/hyperlink" Target="mailto:sp.tt@npc.sk" TargetMode="External"/><Relationship Id="rId17" Type="http://schemas.openxmlformats.org/officeDocument/2006/relationships/hyperlink" Target="mailto:sp.za@npc.sk" TargetMode="External"/><Relationship Id="rId18" Type="http://schemas.openxmlformats.org/officeDocument/2006/relationships/hyperlink" Target="mailto:agency@sbagency.sk" TargetMode="External"/><Relationship Id="rId19" Type="http://schemas.openxmlformats.org/officeDocument/2006/relationships/footer" Target="footer1.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LibreOffice/5.4.3.2$Windows_x86 LibreOffice_project/92a7159f7e4af62137622921e809f8546db437e5</Application>
  <Pages>6</Pages>
  <Words>2151</Words>
  <Characters>13273</Characters>
  <CharactersWithSpaces>15339</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2018-10-23T14:00:00Z</dcterms:created>
  <dc:creator>Zeleníková Katarína</dc:creator>
  <dc:description/>
  <dc:language>sk-SK</dc:language>
  <cp:lastModifiedBy/>
  <dcterms:modified xsi:type="dcterms:W3CDTF">2018-10-24T00:41:41Z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