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21" w:rsidRDefault="00771C21" w:rsidP="00771C21">
      <w:pPr>
        <w:ind w:left="-426"/>
        <w:rPr>
          <w:b/>
          <w:i/>
        </w:rPr>
      </w:pPr>
      <w:r>
        <w:rPr>
          <w:b/>
          <w:i/>
        </w:rPr>
        <w:t xml:space="preserve">VÝZVA </w:t>
      </w:r>
      <w:r w:rsidRPr="00771C21">
        <w:rPr>
          <w:b/>
          <w:i/>
        </w:rPr>
        <w:t>NA PREDKLADANIE ŽIADOSTÍ O POSKYTNUTIE PODPORY V RÁMCI SCHÉMY NA PODPORU RODINNÉHO PODNIKANIA 2017 - 2020  (SCHÉMA POMOCI DE MINIMIS)</w:t>
      </w:r>
      <w:r>
        <w:rPr>
          <w:b/>
          <w:i/>
        </w:rPr>
        <w:t xml:space="preserve"> - </w:t>
      </w:r>
      <w:r w:rsidRPr="00771C21">
        <w:rPr>
          <w:b/>
          <w:i/>
        </w:rPr>
        <w:t>Komponent 2</w:t>
      </w:r>
      <w:r>
        <w:rPr>
          <w:b/>
          <w:i/>
        </w:rPr>
        <w:t xml:space="preserve"> -</w:t>
      </w:r>
      <w:r w:rsidRPr="00771C21">
        <w:rPr>
          <w:b/>
          <w:i/>
        </w:rPr>
        <w:t xml:space="preserve"> Poskytovanie odborného poradenstva v otázkach nástupníctva a generačnej výmeny</w:t>
      </w:r>
    </w:p>
    <w:p w:rsidR="00D36484" w:rsidRPr="00D711E6" w:rsidRDefault="00D711E6" w:rsidP="00771C21">
      <w:pPr>
        <w:ind w:left="-426"/>
        <w:rPr>
          <w:b/>
          <w:i/>
        </w:rPr>
      </w:pPr>
      <w:r w:rsidRPr="00D711E6">
        <w:rPr>
          <w:b/>
          <w:i/>
        </w:rPr>
        <w:t>Zoznam schválených žiadostí zo zasadnutia Komisie z</w:t>
      </w:r>
      <w:r w:rsidR="00771C21">
        <w:rPr>
          <w:b/>
          <w:i/>
        </w:rPr>
        <w:t>o</w:t>
      </w:r>
      <w:r w:rsidRPr="00D711E6">
        <w:rPr>
          <w:b/>
          <w:i/>
        </w:rPr>
        <w:t xml:space="preserve"> dňa 06. 11.2018:</w:t>
      </w:r>
    </w:p>
    <w:tbl>
      <w:tblPr>
        <w:tblStyle w:val="Mriekatabuky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1276"/>
        <w:gridCol w:w="3827"/>
        <w:gridCol w:w="993"/>
      </w:tblGrid>
      <w:tr w:rsidR="00D711E6" w:rsidTr="00445067">
        <w:tc>
          <w:tcPr>
            <w:tcW w:w="3261" w:type="dxa"/>
          </w:tcPr>
          <w:p w:rsidR="00D711E6" w:rsidRPr="00D711E6" w:rsidRDefault="00D711E6">
            <w:pPr>
              <w:rPr>
                <w:b/>
              </w:rPr>
            </w:pPr>
            <w:r w:rsidRPr="00D711E6">
              <w:rPr>
                <w:b/>
              </w:rPr>
              <w:t>Žiadateľ</w:t>
            </w:r>
          </w:p>
        </w:tc>
        <w:tc>
          <w:tcPr>
            <w:tcW w:w="1276" w:type="dxa"/>
          </w:tcPr>
          <w:p w:rsidR="00D711E6" w:rsidRPr="00D711E6" w:rsidRDefault="00D711E6">
            <w:pPr>
              <w:rPr>
                <w:b/>
              </w:rPr>
            </w:pPr>
            <w:r w:rsidRPr="00D711E6">
              <w:rPr>
                <w:b/>
              </w:rPr>
              <w:t>Dátum zasadnutia Komisie</w:t>
            </w:r>
          </w:p>
        </w:tc>
        <w:tc>
          <w:tcPr>
            <w:tcW w:w="3827" w:type="dxa"/>
          </w:tcPr>
          <w:p w:rsidR="00D711E6" w:rsidRPr="00D711E6" w:rsidRDefault="00D711E6">
            <w:pPr>
              <w:rPr>
                <w:b/>
              </w:rPr>
            </w:pPr>
            <w:r w:rsidRPr="00D711E6">
              <w:rPr>
                <w:b/>
              </w:rPr>
              <w:t>Účel podpory</w:t>
            </w:r>
          </w:p>
        </w:tc>
        <w:tc>
          <w:tcPr>
            <w:tcW w:w="993" w:type="dxa"/>
          </w:tcPr>
          <w:p w:rsidR="00D711E6" w:rsidRPr="00D711E6" w:rsidRDefault="00D711E6">
            <w:pPr>
              <w:rPr>
                <w:b/>
              </w:rPr>
            </w:pPr>
            <w:r w:rsidRPr="00D711E6">
              <w:rPr>
                <w:b/>
              </w:rPr>
              <w:t>Výška podpory</w:t>
            </w:r>
          </w:p>
        </w:tc>
      </w:tr>
      <w:tr w:rsidR="00D711E6" w:rsidTr="00445067">
        <w:tc>
          <w:tcPr>
            <w:tcW w:w="3261" w:type="dxa"/>
          </w:tcPr>
          <w:p w:rsidR="00D711E6" w:rsidRDefault="00D711E6">
            <w:proofErr w:type="spellStart"/>
            <w:r>
              <w:t>Kovobel</w:t>
            </w:r>
            <w:proofErr w:type="spellEnd"/>
            <w:r>
              <w:t xml:space="preserve"> 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D711E6" w:rsidRDefault="00D711E6">
            <w:r>
              <w:t>06. 11.2018</w:t>
            </w:r>
          </w:p>
        </w:tc>
        <w:tc>
          <w:tcPr>
            <w:tcW w:w="3827" w:type="dxa"/>
          </w:tcPr>
          <w:p w:rsidR="00D711E6" w:rsidRDefault="00ED409A">
            <w:r>
              <w:t>p</w:t>
            </w:r>
            <w:r w:rsidR="00445067">
              <w:t>oskytovanie odborného poradenstva</w:t>
            </w:r>
          </w:p>
        </w:tc>
        <w:tc>
          <w:tcPr>
            <w:tcW w:w="993" w:type="dxa"/>
          </w:tcPr>
          <w:p w:rsidR="00D711E6" w:rsidRDefault="00445067">
            <w:r>
              <w:t xml:space="preserve">11 250 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INTERKOV STEEL, s.r.o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19 200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 xml:space="preserve">Matej </w:t>
            </w:r>
            <w:proofErr w:type="spellStart"/>
            <w:r>
              <w:t>Krajčík</w:t>
            </w:r>
            <w:proofErr w:type="spellEnd"/>
            <w:r>
              <w:t>, s.r.o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15 850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KELLYS BICYCLES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17 550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OIL JPM,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11 700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Homola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12 600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Bystrík Pripko Kamenárstvo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12 000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Cestovná kancelária FIFO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11 250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proofErr w:type="spellStart"/>
            <w:r>
              <w:t>Vending</w:t>
            </w:r>
            <w:proofErr w:type="spellEnd"/>
            <w:r>
              <w:t xml:space="preserve">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21 000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EKOM PLUS,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 xml:space="preserve">  9 800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 xml:space="preserve">KOFT Bratislava,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12 600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 xml:space="preserve">PSW,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13 650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KULLS SK,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24 000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BLUE DANUBE TOURS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25 000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SCHOTT,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14 400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ESOX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12 000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proofErr w:type="spellStart"/>
            <w:r>
              <w:t>Medeko</w:t>
            </w:r>
            <w:proofErr w:type="spellEnd"/>
            <w:r>
              <w:t xml:space="preserve"> </w:t>
            </w:r>
            <w:proofErr w:type="spellStart"/>
            <w:r>
              <w:t>cast</w:t>
            </w:r>
            <w:proofErr w:type="spellEnd"/>
            <w:r>
              <w:t xml:space="preserve">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 xml:space="preserve">  9 840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 xml:space="preserve">Dezider </w:t>
            </w:r>
            <w:proofErr w:type="spellStart"/>
            <w:r>
              <w:t>Vass</w:t>
            </w:r>
            <w:proofErr w:type="spellEnd"/>
            <w:r>
              <w:t xml:space="preserve"> – VÝROBA NÁBYTKU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 xml:space="preserve">  1 200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KINEKUS SLOVAKIA,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22 800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IDONA,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13 350</w:t>
            </w:r>
          </w:p>
        </w:tc>
      </w:tr>
      <w:tr w:rsidR="00ED409A" w:rsidTr="00445067">
        <w:tc>
          <w:tcPr>
            <w:tcW w:w="3261" w:type="dxa"/>
          </w:tcPr>
          <w:p w:rsidR="00ED409A" w:rsidRDefault="00ED409A" w:rsidP="00ED409A">
            <w:r>
              <w:t>RENAR SLOVAKIA, s.r.o.</w:t>
            </w:r>
          </w:p>
        </w:tc>
        <w:tc>
          <w:tcPr>
            <w:tcW w:w="1276" w:type="dxa"/>
          </w:tcPr>
          <w:p w:rsidR="00ED409A" w:rsidRDefault="00ED409A" w:rsidP="00ED409A">
            <w:r>
              <w:t>06. 11.2018</w:t>
            </w:r>
          </w:p>
        </w:tc>
        <w:tc>
          <w:tcPr>
            <w:tcW w:w="3827" w:type="dxa"/>
          </w:tcPr>
          <w:p w:rsidR="00ED409A" w:rsidRDefault="00ED409A" w:rsidP="00ED409A">
            <w:r w:rsidRPr="000274DE">
              <w:t>poskytovanie odborného poradenstva</w:t>
            </w:r>
          </w:p>
        </w:tc>
        <w:tc>
          <w:tcPr>
            <w:tcW w:w="993" w:type="dxa"/>
          </w:tcPr>
          <w:p w:rsidR="00ED409A" w:rsidRDefault="00ED409A" w:rsidP="00ED409A">
            <w:r>
              <w:t>11 700</w:t>
            </w:r>
          </w:p>
        </w:tc>
      </w:tr>
    </w:tbl>
    <w:p w:rsidR="00D711E6" w:rsidRDefault="00D711E6"/>
    <w:p w:rsidR="00445067" w:rsidRDefault="00445067" w:rsidP="00771C21">
      <w:pPr>
        <w:ind w:left="-426"/>
        <w:rPr>
          <w:b/>
          <w:i/>
        </w:rPr>
      </w:pPr>
      <w:r w:rsidRPr="00445067">
        <w:rPr>
          <w:b/>
          <w:i/>
        </w:rPr>
        <w:t>Zoznam neschválených žiadostí zo zasadnutia Komisie z</w:t>
      </w:r>
      <w:r w:rsidR="00771C21">
        <w:rPr>
          <w:b/>
          <w:i/>
        </w:rPr>
        <w:t>o</w:t>
      </w:r>
      <w:r w:rsidRPr="00445067">
        <w:rPr>
          <w:b/>
          <w:i/>
        </w:rPr>
        <w:t xml:space="preserve"> dňa </w:t>
      </w:r>
      <w:r>
        <w:rPr>
          <w:b/>
          <w:i/>
        </w:rPr>
        <w:t>06</w:t>
      </w:r>
      <w:r w:rsidRPr="00445067">
        <w:rPr>
          <w:b/>
          <w:i/>
        </w:rPr>
        <w:t xml:space="preserve">. </w:t>
      </w:r>
      <w:r>
        <w:rPr>
          <w:b/>
          <w:i/>
        </w:rPr>
        <w:t>11</w:t>
      </w:r>
      <w:r w:rsidRPr="00445067">
        <w:rPr>
          <w:b/>
          <w:i/>
        </w:rPr>
        <w:t>. 2018:</w:t>
      </w:r>
    </w:p>
    <w:tbl>
      <w:tblPr>
        <w:tblStyle w:val="Mriekatabuky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1276"/>
        <w:gridCol w:w="4820"/>
      </w:tblGrid>
      <w:tr w:rsidR="003B41D2" w:rsidTr="00445067">
        <w:tc>
          <w:tcPr>
            <w:tcW w:w="3261" w:type="dxa"/>
          </w:tcPr>
          <w:p w:rsidR="003B41D2" w:rsidRPr="003B41D2" w:rsidRDefault="003B41D2" w:rsidP="003B41D2">
            <w:pPr>
              <w:rPr>
                <w:b/>
              </w:rPr>
            </w:pPr>
            <w:r w:rsidRPr="003B41D2">
              <w:rPr>
                <w:b/>
              </w:rPr>
              <w:t>Žiadateľ</w:t>
            </w:r>
          </w:p>
        </w:tc>
        <w:tc>
          <w:tcPr>
            <w:tcW w:w="1276" w:type="dxa"/>
          </w:tcPr>
          <w:p w:rsidR="003B41D2" w:rsidRPr="00D711E6" w:rsidRDefault="003B41D2" w:rsidP="003B41D2">
            <w:pPr>
              <w:rPr>
                <w:b/>
              </w:rPr>
            </w:pPr>
            <w:r w:rsidRPr="00D711E6">
              <w:rPr>
                <w:b/>
              </w:rPr>
              <w:t>Dátum zasadnutia Komisie</w:t>
            </w:r>
          </w:p>
        </w:tc>
        <w:tc>
          <w:tcPr>
            <w:tcW w:w="4820" w:type="dxa"/>
          </w:tcPr>
          <w:p w:rsidR="003B41D2" w:rsidRPr="003B41D2" w:rsidRDefault="003B41D2" w:rsidP="003B41D2">
            <w:pPr>
              <w:rPr>
                <w:b/>
              </w:rPr>
            </w:pPr>
            <w:r w:rsidRPr="003B41D2">
              <w:rPr>
                <w:b/>
              </w:rPr>
              <w:t>Dôvod neschválenia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2018K200</w:t>
            </w:r>
            <w:r w:rsidRPr="003B41D2">
              <w:t>2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Pr="003B41D2" w:rsidRDefault="00801CF5" w:rsidP="003B41D2">
            <w:r>
              <w:t>nedostatočne</w:t>
            </w:r>
            <w:r w:rsidR="003B41D2" w:rsidRPr="003B41D2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2018K200</w:t>
            </w:r>
            <w:r w:rsidRPr="003B41D2">
              <w:t>6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Pr="003B41D2" w:rsidRDefault="00801CF5" w:rsidP="003B41D2">
            <w:r>
              <w:t>nedostatočne</w:t>
            </w:r>
            <w:r w:rsidR="003B41D2" w:rsidRPr="003B41D2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15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Pr="003B41D2" w:rsidRDefault="00801CF5" w:rsidP="003B41D2">
            <w:r>
              <w:t>nedostatočne</w:t>
            </w:r>
            <w:r w:rsidR="003B41D2" w:rsidRPr="003B41D2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16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Pr="003B41D2" w:rsidRDefault="003B41D2" w:rsidP="003B41D2">
            <w:r w:rsidRPr="003B41D2">
              <w:t>ciele projektu nezodpovedajú cieľom výzvy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18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Pr="003B41D2" w:rsidRDefault="00801CF5" w:rsidP="003B41D2">
            <w:r>
              <w:t>nedostatočne</w:t>
            </w:r>
            <w:r w:rsidR="003B41D2" w:rsidRPr="003B41D2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22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Default="00801CF5" w:rsidP="003B41D2">
            <w:r>
              <w:t>nedostatočne</w:t>
            </w:r>
            <w:r w:rsidR="003B41D2" w:rsidRPr="00314BA1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26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Default="00801CF5" w:rsidP="003B41D2">
            <w:r>
              <w:t>nedostatočne</w:t>
            </w:r>
            <w:r w:rsidR="003B41D2" w:rsidRPr="00314BA1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27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Default="00801CF5" w:rsidP="003B41D2">
            <w:r>
              <w:t>nedostatočne</w:t>
            </w:r>
            <w:r w:rsidR="003B41D2" w:rsidRPr="00314BA1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  <w:tr w:rsidR="003B41D2" w:rsidTr="00445067">
        <w:tc>
          <w:tcPr>
            <w:tcW w:w="3261" w:type="dxa"/>
          </w:tcPr>
          <w:p w:rsidR="003B41D2" w:rsidRPr="003B41D2" w:rsidRDefault="003B41D2" w:rsidP="003B41D2">
            <w:r w:rsidRPr="003B41D2">
              <w:t xml:space="preserve">Žiadosť č. </w:t>
            </w:r>
            <w:r w:rsidR="00771C21">
              <w:t>2018K20</w:t>
            </w:r>
            <w:r w:rsidRPr="003B41D2">
              <w:t>28</w:t>
            </w:r>
          </w:p>
        </w:tc>
        <w:tc>
          <w:tcPr>
            <w:tcW w:w="1276" w:type="dxa"/>
          </w:tcPr>
          <w:p w:rsidR="003B41D2" w:rsidRDefault="003B41D2" w:rsidP="003B41D2">
            <w:r>
              <w:t>06. 11.2018</w:t>
            </w:r>
          </w:p>
        </w:tc>
        <w:tc>
          <w:tcPr>
            <w:tcW w:w="4820" w:type="dxa"/>
          </w:tcPr>
          <w:p w:rsidR="003B41D2" w:rsidRDefault="00801CF5" w:rsidP="003B41D2">
            <w:r>
              <w:t>nedostatočne</w:t>
            </w:r>
            <w:bookmarkStart w:id="0" w:name="_GoBack"/>
            <w:bookmarkEnd w:id="0"/>
            <w:r w:rsidR="003B41D2" w:rsidRPr="00314BA1">
              <w:t xml:space="preserve"> definovaný cieľ projektu z hľadiska relevantnosti</w:t>
            </w:r>
            <w:r w:rsidR="003B41D2">
              <w:t xml:space="preserve"> k téme nástupníctva/gen. výmeny</w:t>
            </w:r>
          </w:p>
        </w:tc>
      </w:tr>
    </w:tbl>
    <w:p w:rsidR="00445067" w:rsidRPr="00445067" w:rsidRDefault="00445067">
      <w:pPr>
        <w:rPr>
          <w:b/>
          <w:i/>
        </w:rPr>
      </w:pPr>
    </w:p>
    <w:sectPr w:rsidR="00445067" w:rsidRPr="00445067" w:rsidSect="00D95D7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6"/>
    <w:rsid w:val="003B41D2"/>
    <w:rsid w:val="00445067"/>
    <w:rsid w:val="00771C21"/>
    <w:rsid w:val="00801CF5"/>
    <w:rsid w:val="00D36484"/>
    <w:rsid w:val="00D711E6"/>
    <w:rsid w:val="00D95D75"/>
    <w:rsid w:val="00E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258A"/>
  <w15:chartTrackingRefBased/>
  <w15:docId w15:val="{9A4C2E3B-C30E-47E1-88AB-5A2AFD5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0DD-EF5F-449C-9647-A3196F9C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Pekaríková Dana</dc:creator>
  <cp:keywords/>
  <dc:description/>
  <cp:lastModifiedBy>Pekaríková Dana</cp:lastModifiedBy>
  <cp:revision>4</cp:revision>
  <dcterms:created xsi:type="dcterms:W3CDTF">2018-11-28T09:12:00Z</dcterms:created>
  <dcterms:modified xsi:type="dcterms:W3CDTF">2018-12-03T09:19:00Z</dcterms:modified>
</cp:coreProperties>
</file>